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5D9D4" w14:textId="0EC2855B" w:rsidR="00BE0465" w:rsidRPr="002A5211" w:rsidRDefault="00BE0465" w:rsidP="00FB72AA">
      <w:pPr>
        <w:pStyle w:val="paragraph"/>
        <w:jc w:val="center"/>
        <w:rPr>
          <w:rFonts w:ascii="Aptos" w:hAnsi="Aptos"/>
          <w:sz w:val="18"/>
          <w:szCs w:val="18"/>
        </w:rPr>
      </w:pPr>
      <w:r w:rsidRPr="002A5211">
        <w:rPr>
          <w:rStyle w:val="eop"/>
          <w:rFonts w:ascii="Aptos" w:eastAsiaTheme="majorEastAsia" w:hAnsi="Aptos" w:cs="Calibri"/>
          <w:sz w:val="22"/>
          <w:szCs w:val="22"/>
        </w:rPr>
        <w:br/>
      </w:r>
      <w:r w:rsidR="0079341C" w:rsidRPr="002A5211">
        <w:rPr>
          <w:rStyle w:val="eop"/>
          <w:rFonts w:ascii="Aptos" w:eastAsiaTheme="majorEastAsia" w:hAnsi="Aptos" w:cs="Calibri"/>
          <w:noProof/>
          <w:sz w:val="22"/>
          <w:szCs w:val="22"/>
        </w:rPr>
        <w:drawing>
          <wp:inline distT="0" distB="0" distL="0" distR="0" wp14:anchorId="5B25CE6B" wp14:editId="3718BD70">
            <wp:extent cx="4365266" cy="965478"/>
            <wp:effectExtent l="0" t="0" r="0" b="6350"/>
            <wp:docPr id="143752049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0619" b="37264"/>
                    <a:stretch/>
                  </pic:blipFill>
                  <pic:spPr bwMode="auto">
                    <a:xfrm>
                      <a:off x="0" y="0"/>
                      <a:ext cx="4423837" cy="978432"/>
                    </a:xfrm>
                    <a:prstGeom prst="rect">
                      <a:avLst/>
                    </a:prstGeom>
                    <a:noFill/>
                    <a:ln>
                      <a:noFill/>
                    </a:ln>
                    <a:extLst>
                      <a:ext uri="{53640926-AAD7-44D8-BBD7-CCE9431645EC}">
                        <a14:shadowObscured xmlns:a14="http://schemas.microsoft.com/office/drawing/2010/main"/>
                      </a:ext>
                    </a:extLst>
                  </pic:spPr>
                </pic:pic>
              </a:graphicData>
            </a:graphic>
          </wp:inline>
        </w:drawing>
      </w:r>
    </w:p>
    <w:p w14:paraId="1871893E" w14:textId="77777777" w:rsidR="009C453C" w:rsidRPr="002A5211" w:rsidRDefault="009C453C" w:rsidP="00FB72AA">
      <w:pPr>
        <w:pStyle w:val="paragraph"/>
        <w:jc w:val="center"/>
        <w:rPr>
          <w:rStyle w:val="normaltextrun"/>
          <w:rFonts w:ascii="Aptos" w:eastAsiaTheme="majorEastAsia" w:hAnsi="Aptos" w:cs="Calibri"/>
          <w:sz w:val="32"/>
          <w:szCs w:val="32"/>
        </w:rPr>
      </w:pPr>
    </w:p>
    <w:p w14:paraId="06DD8F89" w14:textId="4EB06211" w:rsidR="00BE0465" w:rsidRPr="002A5211" w:rsidRDefault="00BE0465" w:rsidP="00FB72AA">
      <w:pPr>
        <w:pStyle w:val="paragraph"/>
        <w:jc w:val="center"/>
        <w:rPr>
          <w:rStyle w:val="normaltextrun"/>
          <w:rFonts w:ascii="Aptos" w:eastAsiaTheme="majorEastAsia" w:hAnsi="Aptos" w:cs="Calibri"/>
          <w:sz w:val="40"/>
          <w:szCs w:val="40"/>
        </w:rPr>
      </w:pPr>
      <w:r w:rsidRPr="002A5211">
        <w:rPr>
          <w:rStyle w:val="normaltextrun"/>
          <w:rFonts w:ascii="Aptos" w:eastAsiaTheme="majorEastAsia" w:hAnsi="Aptos" w:cs="Calibri"/>
          <w:sz w:val="40"/>
          <w:szCs w:val="40"/>
        </w:rPr>
        <w:t>Report to the General Assembly</w:t>
      </w:r>
    </w:p>
    <w:p w14:paraId="10E2F8D2" w14:textId="77777777" w:rsidR="00B95B1C" w:rsidRDefault="00B95B1C" w:rsidP="00FB72AA">
      <w:pPr>
        <w:pStyle w:val="paragraph"/>
        <w:jc w:val="center"/>
        <w:rPr>
          <w:rStyle w:val="normaltextrun"/>
          <w:rFonts w:ascii="Aptos" w:eastAsiaTheme="majorEastAsia" w:hAnsi="Aptos" w:cs="Calibri"/>
          <w:sz w:val="36"/>
          <w:szCs w:val="36"/>
        </w:rPr>
      </w:pPr>
      <w:r w:rsidRPr="00B95B1C">
        <w:rPr>
          <w:rStyle w:val="normaltextrun"/>
          <w:rFonts w:ascii="Aptos" w:eastAsiaTheme="majorEastAsia" w:hAnsi="Aptos" w:cs="Calibri"/>
          <w:sz w:val="36"/>
          <w:szCs w:val="36"/>
        </w:rPr>
        <w:t>Report to the Public Health and Education Committees on School Based Health Centers Pursuant to Section 19a-6i of the General Statutes</w:t>
      </w:r>
    </w:p>
    <w:p w14:paraId="0485B11D" w14:textId="6143B122" w:rsidR="009C453C" w:rsidRPr="002A5211" w:rsidRDefault="00B95B1C" w:rsidP="00FB72AA">
      <w:pPr>
        <w:pStyle w:val="paragraph"/>
        <w:jc w:val="center"/>
        <w:rPr>
          <w:rStyle w:val="eop"/>
          <w:rFonts w:ascii="Aptos" w:eastAsiaTheme="majorEastAsia" w:hAnsi="Aptos" w:cs="Calibri"/>
          <w:sz w:val="22"/>
          <w:szCs w:val="22"/>
        </w:rPr>
      </w:pPr>
      <w:r w:rsidRPr="00B95B1C">
        <w:rPr>
          <w:rStyle w:val="normaltextrun"/>
          <w:rFonts w:ascii="Aptos" w:eastAsiaTheme="majorEastAsia" w:hAnsi="Aptos" w:cs="Calibri"/>
          <w:sz w:val="36"/>
          <w:szCs w:val="36"/>
        </w:rPr>
        <w:t>School-Based Health Center Advisory Committee Report 202</w:t>
      </w:r>
      <w:r w:rsidR="001D30A9">
        <w:rPr>
          <w:rStyle w:val="normaltextrun"/>
          <w:rFonts w:ascii="Aptos" w:eastAsiaTheme="majorEastAsia" w:hAnsi="Aptos" w:cs="Calibri"/>
          <w:sz w:val="36"/>
          <w:szCs w:val="36"/>
        </w:rPr>
        <w:t>6</w:t>
      </w:r>
    </w:p>
    <w:p w14:paraId="53623375" w14:textId="07662316" w:rsidR="00BE0465" w:rsidRPr="002A5211" w:rsidRDefault="00BE0465" w:rsidP="00FB72AA">
      <w:pPr>
        <w:pStyle w:val="paragraph"/>
        <w:jc w:val="center"/>
        <w:rPr>
          <w:rFonts w:ascii="Aptos" w:hAnsi="Aptos"/>
          <w:sz w:val="18"/>
          <w:szCs w:val="18"/>
        </w:rPr>
      </w:pPr>
    </w:p>
    <w:p w14:paraId="795CEC30" w14:textId="08C9E8ED" w:rsidR="00BE0465" w:rsidRPr="002A5211" w:rsidRDefault="00BE0465" w:rsidP="00FB72AA">
      <w:pPr>
        <w:pStyle w:val="paragraph"/>
        <w:jc w:val="center"/>
        <w:rPr>
          <w:rFonts w:ascii="Aptos" w:hAnsi="Aptos"/>
          <w:sz w:val="20"/>
          <w:szCs w:val="20"/>
        </w:rPr>
      </w:pPr>
      <w:r w:rsidRPr="002A5211">
        <w:rPr>
          <w:rStyle w:val="normaltextrun"/>
          <w:rFonts w:ascii="Aptos" w:eastAsiaTheme="majorEastAsia" w:hAnsi="Aptos" w:cs="Calibri"/>
          <w:b/>
          <w:bCs/>
          <w:sz w:val="32"/>
          <w:szCs w:val="32"/>
        </w:rPr>
        <w:t xml:space="preserve">Manisha </w:t>
      </w:r>
      <w:proofErr w:type="spellStart"/>
      <w:r w:rsidRPr="002A5211">
        <w:rPr>
          <w:rStyle w:val="normaltextrun"/>
          <w:rFonts w:ascii="Aptos" w:eastAsiaTheme="majorEastAsia" w:hAnsi="Aptos" w:cs="Calibri"/>
          <w:b/>
          <w:bCs/>
          <w:sz w:val="32"/>
          <w:szCs w:val="32"/>
        </w:rPr>
        <w:t>Juthani</w:t>
      </w:r>
      <w:proofErr w:type="spellEnd"/>
      <w:r w:rsidRPr="002A5211">
        <w:rPr>
          <w:rStyle w:val="normaltextrun"/>
          <w:rFonts w:ascii="Aptos" w:eastAsiaTheme="majorEastAsia" w:hAnsi="Aptos" w:cs="Calibri"/>
          <w:b/>
          <w:bCs/>
          <w:sz w:val="32"/>
          <w:szCs w:val="32"/>
        </w:rPr>
        <w:t>, MD, Commissioner</w:t>
      </w:r>
    </w:p>
    <w:p w14:paraId="7CDDE1B9" w14:textId="0E9DEC3B" w:rsidR="00BE0465" w:rsidRPr="002A5211" w:rsidRDefault="009C453C" w:rsidP="00FB72AA">
      <w:pPr>
        <w:pStyle w:val="paragraph"/>
        <w:jc w:val="center"/>
        <w:rPr>
          <w:rFonts w:ascii="Aptos" w:hAnsi="Aptos"/>
          <w:sz w:val="18"/>
          <w:szCs w:val="18"/>
        </w:rPr>
      </w:pPr>
      <w:r w:rsidRPr="00B95B1C">
        <w:rPr>
          <w:rStyle w:val="normaltextrun"/>
          <w:rFonts w:ascii="Aptos" w:eastAsiaTheme="majorEastAsia" w:hAnsi="Aptos" w:cs="Calibri"/>
          <w:b/>
          <w:bCs/>
          <w:sz w:val="28"/>
          <w:szCs w:val="28"/>
        </w:rPr>
        <w:t>Report Due Date (01/0</w:t>
      </w:r>
      <w:r w:rsidR="00C235D3" w:rsidRPr="00B95B1C">
        <w:rPr>
          <w:rStyle w:val="normaltextrun"/>
          <w:rFonts w:ascii="Aptos" w:eastAsiaTheme="majorEastAsia" w:hAnsi="Aptos" w:cs="Calibri"/>
          <w:b/>
          <w:bCs/>
          <w:sz w:val="28"/>
          <w:szCs w:val="28"/>
        </w:rPr>
        <w:t>1</w:t>
      </w:r>
      <w:r w:rsidR="00BE0465" w:rsidRPr="00B95B1C">
        <w:rPr>
          <w:rStyle w:val="normaltextrun"/>
          <w:rFonts w:ascii="Aptos" w:eastAsiaTheme="majorEastAsia" w:hAnsi="Aptos" w:cs="Calibri"/>
          <w:b/>
          <w:bCs/>
          <w:sz w:val="28"/>
          <w:szCs w:val="28"/>
        </w:rPr>
        <w:t>/202</w:t>
      </w:r>
      <w:r w:rsidR="001D604C" w:rsidRPr="00B95B1C">
        <w:rPr>
          <w:rStyle w:val="normaltextrun"/>
          <w:rFonts w:ascii="Aptos" w:eastAsiaTheme="majorEastAsia" w:hAnsi="Aptos" w:cs="Calibri"/>
          <w:b/>
          <w:bCs/>
          <w:sz w:val="28"/>
          <w:szCs w:val="28"/>
        </w:rPr>
        <w:t>7</w:t>
      </w:r>
      <w:r w:rsidRPr="00B95B1C">
        <w:rPr>
          <w:rStyle w:val="eop"/>
          <w:rFonts w:ascii="Aptos" w:eastAsiaTheme="majorEastAsia" w:hAnsi="Aptos" w:cs="Calibri"/>
          <w:sz w:val="28"/>
          <w:szCs w:val="28"/>
        </w:rPr>
        <w:t>)</w:t>
      </w:r>
    </w:p>
    <w:p w14:paraId="672972D0" w14:textId="44F9704A" w:rsidR="00BE0465" w:rsidRPr="002A5211" w:rsidRDefault="00BE0465" w:rsidP="00FB72AA">
      <w:pPr>
        <w:pStyle w:val="paragraph"/>
        <w:jc w:val="center"/>
        <w:rPr>
          <w:rFonts w:ascii="Aptos" w:hAnsi="Aptos"/>
          <w:sz w:val="18"/>
          <w:szCs w:val="18"/>
        </w:rPr>
      </w:pPr>
    </w:p>
    <w:p w14:paraId="3C267219" w14:textId="30559675" w:rsidR="00BE0465" w:rsidRPr="002A5211" w:rsidRDefault="00BE0465" w:rsidP="00FB72AA">
      <w:pPr>
        <w:pStyle w:val="paragraph"/>
        <w:jc w:val="center"/>
        <w:rPr>
          <w:rFonts w:ascii="Aptos" w:hAnsi="Aptos"/>
          <w:sz w:val="18"/>
          <w:szCs w:val="18"/>
        </w:rPr>
      </w:pPr>
    </w:p>
    <w:p w14:paraId="29F40F70" w14:textId="5E79DC98" w:rsidR="00BE0465" w:rsidRPr="002A5211" w:rsidRDefault="00BE0465" w:rsidP="00FB72AA">
      <w:pPr>
        <w:pStyle w:val="paragraph"/>
        <w:jc w:val="center"/>
        <w:rPr>
          <w:rFonts w:ascii="Aptos" w:hAnsi="Aptos"/>
        </w:rPr>
      </w:pPr>
      <w:r w:rsidRPr="002A5211">
        <w:rPr>
          <w:rStyle w:val="wacimagecontainer"/>
          <w:rFonts w:ascii="Aptos" w:hAnsi="Aptos" w:cs="Calibri"/>
          <w:noProof/>
          <w:sz w:val="18"/>
          <w:szCs w:val="18"/>
        </w:rPr>
        <w:drawing>
          <wp:inline distT="0" distB="0" distL="0" distR="0" wp14:anchorId="331D91A9" wp14:editId="68DFC897">
            <wp:extent cx="1447165" cy="1137285"/>
            <wp:effectExtent l="0" t="0" r="635" b="5715"/>
            <wp:docPr id="15" name="Picture 1" descr="Coat of arms of Connecticu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at of arms of Connecticut - Wikip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165" cy="1137285"/>
                    </a:xfrm>
                    <a:prstGeom prst="rect">
                      <a:avLst/>
                    </a:prstGeom>
                    <a:noFill/>
                    <a:ln>
                      <a:noFill/>
                    </a:ln>
                  </pic:spPr>
                </pic:pic>
              </a:graphicData>
            </a:graphic>
          </wp:inline>
        </w:drawing>
      </w:r>
    </w:p>
    <w:p w14:paraId="1300F3D0" w14:textId="0410A81C" w:rsidR="00BE0465" w:rsidRPr="002A5211" w:rsidRDefault="00BE0465" w:rsidP="00FB72AA">
      <w:pPr>
        <w:pStyle w:val="NoSpacing"/>
        <w:jc w:val="center"/>
        <w:rPr>
          <w:rFonts w:ascii="Aptos" w:hAnsi="Aptos"/>
          <w:sz w:val="18"/>
          <w:szCs w:val="18"/>
        </w:rPr>
      </w:pPr>
      <w:r w:rsidRPr="002A5211">
        <w:rPr>
          <w:rStyle w:val="normaltextrun"/>
          <w:rFonts w:ascii="Aptos" w:hAnsi="Aptos"/>
        </w:rPr>
        <w:t>State of Connecticut</w:t>
      </w:r>
    </w:p>
    <w:p w14:paraId="269627EA" w14:textId="0E0DFB70" w:rsidR="00BE0465" w:rsidRPr="002A5211" w:rsidRDefault="00BE0465" w:rsidP="00FB72AA">
      <w:pPr>
        <w:pStyle w:val="NoSpacing"/>
        <w:jc w:val="center"/>
        <w:rPr>
          <w:rFonts w:ascii="Aptos" w:hAnsi="Aptos"/>
          <w:sz w:val="18"/>
          <w:szCs w:val="18"/>
        </w:rPr>
      </w:pPr>
      <w:r w:rsidRPr="002A5211">
        <w:rPr>
          <w:rStyle w:val="normaltextrun"/>
          <w:rFonts w:ascii="Aptos" w:hAnsi="Aptos"/>
        </w:rPr>
        <w:t>Department of Public Health</w:t>
      </w:r>
    </w:p>
    <w:p w14:paraId="6985FC12" w14:textId="4973B32E" w:rsidR="00BE0465" w:rsidRPr="002A5211" w:rsidRDefault="00BE0465" w:rsidP="00FB72AA">
      <w:pPr>
        <w:pStyle w:val="NoSpacing"/>
        <w:jc w:val="center"/>
        <w:rPr>
          <w:rFonts w:ascii="Aptos" w:hAnsi="Aptos"/>
          <w:sz w:val="18"/>
          <w:szCs w:val="18"/>
        </w:rPr>
      </w:pPr>
      <w:r w:rsidRPr="002A5211">
        <w:rPr>
          <w:rStyle w:val="normaltextrun"/>
          <w:rFonts w:ascii="Aptos" w:hAnsi="Aptos"/>
        </w:rPr>
        <w:t>410 Capitol Avenue</w:t>
      </w:r>
    </w:p>
    <w:p w14:paraId="542423FE" w14:textId="76ADCE17" w:rsidR="00BE0465" w:rsidRPr="002A5211" w:rsidRDefault="00BE0465" w:rsidP="00FB72AA">
      <w:pPr>
        <w:pStyle w:val="NoSpacing"/>
        <w:jc w:val="center"/>
        <w:rPr>
          <w:rFonts w:ascii="Aptos" w:hAnsi="Aptos"/>
          <w:sz w:val="18"/>
          <w:szCs w:val="18"/>
        </w:rPr>
      </w:pPr>
      <w:r w:rsidRPr="002A5211">
        <w:rPr>
          <w:rStyle w:val="normaltextrun"/>
          <w:rFonts w:ascii="Aptos" w:hAnsi="Aptos"/>
        </w:rPr>
        <w:t>P.O. Box 340308</w:t>
      </w:r>
    </w:p>
    <w:p w14:paraId="09859EDE" w14:textId="04C83528" w:rsidR="00BE0465" w:rsidRPr="002A5211" w:rsidRDefault="00BE0465" w:rsidP="00FB72AA">
      <w:pPr>
        <w:pStyle w:val="NoSpacing"/>
        <w:jc w:val="center"/>
        <w:rPr>
          <w:rFonts w:ascii="Aptos" w:hAnsi="Aptos"/>
          <w:sz w:val="18"/>
          <w:szCs w:val="18"/>
        </w:rPr>
      </w:pPr>
      <w:r w:rsidRPr="002A5211">
        <w:rPr>
          <w:rStyle w:val="normaltextrun"/>
          <w:rFonts w:ascii="Aptos" w:hAnsi="Aptos"/>
        </w:rPr>
        <w:t>Hartford, CT 06134-0308</w:t>
      </w:r>
    </w:p>
    <w:p w14:paraId="4D49FB3F" w14:textId="1FAC48C0" w:rsidR="00FB72AA" w:rsidRPr="002A5211" w:rsidRDefault="00FB72AA">
      <w:pPr>
        <w:rPr>
          <w:rFonts w:ascii="Aptos" w:eastAsiaTheme="majorEastAsia" w:hAnsi="Aptos" w:cstheme="majorBidi"/>
          <w:spacing w:val="-10"/>
          <w:kern w:val="28"/>
          <w:sz w:val="56"/>
          <w:szCs w:val="56"/>
        </w:rPr>
      </w:pPr>
    </w:p>
    <w:p w14:paraId="6966709B" w14:textId="4E05BDAA" w:rsidR="0042411D" w:rsidRPr="002A5211" w:rsidRDefault="0042411D" w:rsidP="00FB72AA">
      <w:pPr>
        <w:pStyle w:val="Title"/>
        <w:rPr>
          <w:rFonts w:ascii="Aptos" w:hAnsi="Aptos"/>
        </w:rPr>
      </w:pPr>
      <w:r w:rsidRPr="002A5211">
        <w:rPr>
          <w:rFonts w:ascii="Aptos" w:hAnsi="Aptos"/>
        </w:rPr>
        <w:t>State of Connecticut</w:t>
      </w:r>
      <w:r w:rsidR="00DB32B8" w:rsidRPr="002A5211">
        <w:rPr>
          <w:rFonts w:ascii="Aptos" w:hAnsi="Aptos"/>
        </w:rPr>
        <w:t xml:space="preserve"> </w:t>
      </w:r>
      <w:r w:rsidRPr="002A5211">
        <w:rPr>
          <w:rFonts w:ascii="Aptos" w:hAnsi="Aptos"/>
        </w:rPr>
        <w:t>Department of Public Health</w:t>
      </w:r>
    </w:p>
    <w:p w14:paraId="376BE5F3" w14:textId="6C6524D6" w:rsidR="0042411D" w:rsidRPr="009F76BA" w:rsidRDefault="0042411D" w:rsidP="00FB72AA">
      <w:pPr>
        <w:pStyle w:val="Title"/>
        <w:rPr>
          <w:rFonts w:ascii="Aptos" w:hAnsi="Aptos"/>
        </w:rPr>
      </w:pPr>
      <w:r w:rsidRPr="002A5211">
        <w:rPr>
          <w:rFonts w:ascii="Aptos" w:hAnsi="Aptos"/>
        </w:rPr>
        <w:t xml:space="preserve">Report to the </w:t>
      </w:r>
      <w:r w:rsidR="009F76BA" w:rsidRPr="009F76BA">
        <w:rPr>
          <w:rFonts w:ascii="Aptos" w:hAnsi="Aptos"/>
        </w:rPr>
        <w:t>Public Health and Education Committees</w:t>
      </w:r>
    </w:p>
    <w:p w14:paraId="4ADFF9AB" w14:textId="77777777" w:rsidR="009F76BA" w:rsidRDefault="009F76BA" w:rsidP="009F76BA">
      <w:pPr>
        <w:jc w:val="center"/>
        <w:rPr>
          <w:rFonts w:ascii="Aptos" w:eastAsiaTheme="majorEastAsia" w:hAnsi="Aptos"/>
          <w:spacing w:val="-10"/>
          <w:kern w:val="28"/>
          <w:sz w:val="40"/>
          <w:szCs w:val="40"/>
        </w:rPr>
      </w:pPr>
    </w:p>
    <w:p w14:paraId="6E4FBEF4" w14:textId="02E79A80" w:rsidR="009F76BA" w:rsidRPr="009F76BA" w:rsidRDefault="009F76BA" w:rsidP="009F76BA">
      <w:pPr>
        <w:jc w:val="center"/>
        <w:rPr>
          <w:rFonts w:ascii="Aptos" w:eastAsiaTheme="majorEastAsia" w:hAnsi="Aptos"/>
          <w:spacing w:val="-10"/>
          <w:kern w:val="28"/>
          <w:sz w:val="40"/>
          <w:szCs w:val="40"/>
        </w:rPr>
      </w:pPr>
      <w:r w:rsidRPr="009F76BA">
        <w:rPr>
          <w:rFonts w:ascii="Aptos" w:eastAsiaTheme="majorEastAsia" w:hAnsi="Aptos"/>
          <w:spacing w:val="-10"/>
          <w:kern w:val="28"/>
          <w:sz w:val="40"/>
          <w:szCs w:val="40"/>
        </w:rPr>
        <w:t>School-Based Health Center Advisory Committee Report 202</w:t>
      </w:r>
      <w:r w:rsidR="001D30A9">
        <w:rPr>
          <w:rFonts w:ascii="Aptos" w:eastAsiaTheme="majorEastAsia" w:hAnsi="Aptos"/>
          <w:spacing w:val="-10"/>
          <w:kern w:val="28"/>
          <w:sz w:val="40"/>
          <w:szCs w:val="40"/>
        </w:rPr>
        <w:t>6</w:t>
      </w:r>
    </w:p>
    <w:p w14:paraId="2D988CF0" w14:textId="77777777" w:rsidR="0042411D" w:rsidRPr="002A5211" w:rsidRDefault="0042411D" w:rsidP="00FB72AA">
      <w:pPr>
        <w:rPr>
          <w:rFonts w:ascii="Aptos" w:hAnsi="Aptos"/>
        </w:rPr>
      </w:pPr>
    </w:p>
    <w:bookmarkStart w:id="0" w:name="_Toc241838539" w:displacedByCustomXml="next"/>
    <w:sdt>
      <w:sdtPr>
        <w:rPr>
          <w:rFonts w:ascii="Aptos" w:hAnsi="Aptos"/>
          <w:b w:val="0"/>
          <w:bCs w:val="0"/>
          <w:sz w:val="22"/>
          <w:szCs w:val="22"/>
        </w:rPr>
        <w:id w:val="1449407795"/>
        <w:docPartObj>
          <w:docPartGallery w:val="Table of Contents"/>
          <w:docPartUnique/>
        </w:docPartObj>
      </w:sdtPr>
      <w:sdtContent>
        <w:p w14:paraId="05A8EED4" w14:textId="34785F81" w:rsidR="00CD50DB" w:rsidRPr="002A5211" w:rsidRDefault="0042411D" w:rsidP="00FB72AA">
          <w:pPr>
            <w:pStyle w:val="Heading2"/>
            <w:rPr>
              <w:rStyle w:val="SubtitleChar"/>
              <w:rFonts w:ascii="Aptos" w:hAnsi="Aptos" w:cs="Calibri"/>
              <w:color w:val="3371E8"/>
              <w:sz w:val="36"/>
              <w:szCs w:val="36"/>
            </w:rPr>
          </w:pPr>
          <w:r w:rsidRPr="002A5211">
            <w:rPr>
              <w:rFonts w:ascii="Aptos" w:hAnsi="Aptos"/>
            </w:rPr>
            <w:t xml:space="preserve">Table of </w:t>
          </w:r>
          <w:r w:rsidR="00CD50DB" w:rsidRPr="002A5211">
            <w:rPr>
              <w:rFonts w:ascii="Aptos" w:hAnsi="Aptos"/>
            </w:rPr>
            <w:t>Contents</w:t>
          </w:r>
          <w:bookmarkEnd w:id="0"/>
        </w:p>
        <w:p w14:paraId="0D94FAAD" w14:textId="468D413D" w:rsidR="00E71BE9" w:rsidRDefault="2E52C192">
          <w:pPr>
            <w:pStyle w:val="TOC2"/>
            <w:tabs>
              <w:tab w:val="right" w:leader="dot" w:pos="9350"/>
            </w:tabs>
            <w:rPr>
              <w:rFonts w:asciiTheme="minorHAnsi" w:eastAsiaTheme="minorEastAsia" w:hAnsiTheme="minorHAnsi" w:cstheme="minorBidi"/>
              <w:noProof/>
              <w:sz w:val="24"/>
              <w:szCs w:val="24"/>
            </w:rPr>
          </w:pPr>
          <w:r w:rsidRPr="002A5211">
            <w:rPr>
              <w:rFonts w:ascii="Aptos" w:hAnsi="Aptos"/>
            </w:rPr>
            <w:fldChar w:fldCharType="begin"/>
          </w:r>
          <w:r w:rsidR="00CD50DB" w:rsidRPr="002A5211">
            <w:rPr>
              <w:rFonts w:ascii="Aptos" w:hAnsi="Aptos"/>
            </w:rPr>
            <w:instrText>TOC \o "1-3" \z \u \h</w:instrText>
          </w:r>
          <w:r w:rsidRPr="002A5211">
            <w:rPr>
              <w:rFonts w:ascii="Aptos" w:hAnsi="Aptos"/>
            </w:rPr>
            <w:fldChar w:fldCharType="separate"/>
          </w:r>
          <w:hyperlink w:anchor="_Toc241838539" w:history="1">
            <w:r w:rsidR="00E71BE9" w:rsidRPr="00934C31">
              <w:rPr>
                <w:rStyle w:val="Hyperlink"/>
                <w:rFonts w:ascii="Aptos" w:hAnsi="Aptos"/>
                <w:noProof/>
              </w:rPr>
              <w:t>Table of Contents</w:t>
            </w:r>
            <w:r w:rsidR="00E71BE9">
              <w:rPr>
                <w:noProof/>
                <w:webHidden/>
              </w:rPr>
              <w:tab/>
            </w:r>
            <w:r w:rsidR="00E71BE9">
              <w:rPr>
                <w:noProof/>
                <w:webHidden/>
              </w:rPr>
              <w:fldChar w:fldCharType="begin"/>
            </w:r>
            <w:r w:rsidR="00E71BE9">
              <w:rPr>
                <w:noProof/>
                <w:webHidden/>
              </w:rPr>
              <w:instrText xml:space="preserve"> PAGEREF _Toc241838539 \h </w:instrText>
            </w:r>
            <w:r w:rsidR="00E71BE9">
              <w:rPr>
                <w:noProof/>
                <w:webHidden/>
              </w:rPr>
            </w:r>
            <w:r w:rsidR="00E71BE9">
              <w:rPr>
                <w:noProof/>
                <w:webHidden/>
              </w:rPr>
              <w:fldChar w:fldCharType="separate"/>
            </w:r>
            <w:r w:rsidR="005F228B">
              <w:rPr>
                <w:noProof/>
                <w:webHidden/>
              </w:rPr>
              <w:t>1</w:t>
            </w:r>
            <w:r w:rsidR="00E71BE9">
              <w:rPr>
                <w:noProof/>
                <w:webHidden/>
              </w:rPr>
              <w:fldChar w:fldCharType="end"/>
            </w:r>
          </w:hyperlink>
        </w:p>
        <w:p w14:paraId="276185E2" w14:textId="05356C84" w:rsidR="00E71BE9" w:rsidRDefault="00E71BE9">
          <w:pPr>
            <w:pStyle w:val="TOC2"/>
            <w:tabs>
              <w:tab w:val="right" w:leader="dot" w:pos="9350"/>
            </w:tabs>
            <w:rPr>
              <w:rFonts w:asciiTheme="minorHAnsi" w:eastAsiaTheme="minorEastAsia" w:hAnsiTheme="minorHAnsi" w:cstheme="minorBidi"/>
              <w:noProof/>
              <w:sz w:val="24"/>
              <w:szCs w:val="24"/>
            </w:rPr>
          </w:pPr>
          <w:hyperlink w:anchor="_Toc241838540" w:history="1">
            <w:r w:rsidRPr="00934C31">
              <w:rPr>
                <w:rStyle w:val="Hyperlink"/>
                <w:rFonts w:ascii="Aptos" w:hAnsi="Aptos"/>
                <w:noProof/>
              </w:rPr>
              <w:t>Executive Summary</w:t>
            </w:r>
            <w:r>
              <w:rPr>
                <w:noProof/>
                <w:webHidden/>
              </w:rPr>
              <w:tab/>
            </w:r>
            <w:r>
              <w:rPr>
                <w:noProof/>
                <w:webHidden/>
              </w:rPr>
              <w:fldChar w:fldCharType="begin"/>
            </w:r>
            <w:r>
              <w:rPr>
                <w:noProof/>
                <w:webHidden/>
              </w:rPr>
              <w:instrText xml:space="preserve"> PAGEREF _Toc241838540 \h </w:instrText>
            </w:r>
            <w:r>
              <w:rPr>
                <w:noProof/>
                <w:webHidden/>
              </w:rPr>
            </w:r>
            <w:r>
              <w:rPr>
                <w:noProof/>
                <w:webHidden/>
              </w:rPr>
              <w:fldChar w:fldCharType="separate"/>
            </w:r>
            <w:r w:rsidR="005F228B">
              <w:rPr>
                <w:noProof/>
                <w:webHidden/>
              </w:rPr>
              <w:t>2</w:t>
            </w:r>
            <w:r>
              <w:rPr>
                <w:noProof/>
                <w:webHidden/>
              </w:rPr>
              <w:fldChar w:fldCharType="end"/>
            </w:r>
          </w:hyperlink>
        </w:p>
        <w:p w14:paraId="6359EA11" w14:textId="624D1A7A" w:rsidR="00E71BE9" w:rsidRDefault="00E71BE9">
          <w:pPr>
            <w:pStyle w:val="TOC2"/>
            <w:tabs>
              <w:tab w:val="right" w:leader="dot" w:pos="9350"/>
            </w:tabs>
            <w:rPr>
              <w:rFonts w:asciiTheme="minorHAnsi" w:eastAsiaTheme="minorEastAsia" w:hAnsiTheme="minorHAnsi" w:cstheme="minorBidi"/>
              <w:noProof/>
              <w:sz w:val="24"/>
              <w:szCs w:val="24"/>
            </w:rPr>
          </w:pPr>
          <w:hyperlink w:anchor="_Toc241838541" w:history="1">
            <w:r w:rsidRPr="00934C31">
              <w:rPr>
                <w:rStyle w:val="Hyperlink"/>
                <w:rFonts w:ascii="Aptos" w:hAnsi="Aptos"/>
                <w:noProof/>
              </w:rPr>
              <w:t>Committee Membership</w:t>
            </w:r>
            <w:r>
              <w:rPr>
                <w:noProof/>
                <w:webHidden/>
              </w:rPr>
              <w:tab/>
            </w:r>
            <w:r>
              <w:rPr>
                <w:noProof/>
                <w:webHidden/>
              </w:rPr>
              <w:fldChar w:fldCharType="begin"/>
            </w:r>
            <w:r>
              <w:rPr>
                <w:noProof/>
                <w:webHidden/>
              </w:rPr>
              <w:instrText xml:space="preserve"> PAGEREF _Toc241838541 \h </w:instrText>
            </w:r>
            <w:r>
              <w:rPr>
                <w:noProof/>
                <w:webHidden/>
              </w:rPr>
            </w:r>
            <w:r>
              <w:rPr>
                <w:noProof/>
                <w:webHidden/>
              </w:rPr>
              <w:fldChar w:fldCharType="separate"/>
            </w:r>
            <w:r w:rsidR="005F228B">
              <w:rPr>
                <w:noProof/>
                <w:webHidden/>
              </w:rPr>
              <w:t>3</w:t>
            </w:r>
            <w:r>
              <w:rPr>
                <w:noProof/>
                <w:webHidden/>
              </w:rPr>
              <w:fldChar w:fldCharType="end"/>
            </w:r>
          </w:hyperlink>
        </w:p>
        <w:p w14:paraId="0B758C82" w14:textId="19D584C5" w:rsidR="00E71BE9" w:rsidRDefault="00E71BE9">
          <w:pPr>
            <w:pStyle w:val="TOC2"/>
            <w:tabs>
              <w:tab w:val="right" w:leader="dot" w:pos="9350"/>
            </w:tabs>
            <w:rPr>
              <w:rFonts w:asciiTheme="minorHAnsi" w:eastAsiaTheme="minorEastAsia" w:hAnsiTheme="minorHAnsi" w:cstheme="minorBidi"/>
              <w:noProof/>
              <w:sz w:val="24"/>
              <w:szCs w:val="24"/>
            </w:rPr>
          </w:pPr>
          <w:hyperlink w:anchor="_Toc241838542" w:history="1">
            <w:r w:rsidRPr="00934C31">
              <w:rPr>
                <w:rStyle w:val="Hyperlink"/>
                <w:rFonts w:ascii="Aptos" w:hAnsi="Aptos"/>
                <w:noProof/>
              </w:rPr>
              <w:t>Key Terms</w:t>
            </w:r>
            <w:r>
              <w:rPr>
                <w:noProof/>
                <w:webHidden/>
              </w:rPr>
              <w:tab/>
            </w:r>
            <w:r>
              <w:rPr>
                <w:noProof/>
                <w:webHidden/>
              </w:rPr>
              <w:fldChar w:fldCharType="begin"/>
            </w:r>
            <w:r>
              <w:rPr>
                <w:noProof/>
                <w:webHidden/>
              </w:rPr>
              <w:instrText xml:space="preserve"> PAGEREF _Toc241838542 \h </w:instrText>
            </w:r>
            <w:r>
              <w:rPr>
                <w:noProof/>
                <w:webHidden/>
              </w:rPr>
            </w:r>
            <w:r>
              <w:rPr>
                <w:noProof/>
                <w:webHidden/>
              </w:rPr>
              <w:fldChar w:fldCharType="separate"/>
            </w:r>
            <w:r w:rsidR="005F228B">
              <w:rPr>
                <w:noProof/>
                <w:webHidden/>
              </w:rPr>
              <w:t>4</w:t>
            </w:r>
            <w:r>
              <w:rPr>
                <w:noProof/>
                <w:webHidden/>
              </w:rPr>
              <w:fldChar w:fldCharType="end"/>
            </w:r>
          </w:hyperlink>
        </w:p>
        <w:p w14:paraId="379C1425" w14:textId="26AE7CC1" w:rsidR="00E71BE9" w:rsidRDefault="00E71BE9">
          <w:pPr>
            <w:pStyle w:val="TOC2"/>
            <w:tabs>
              <w:tab w:val="right" w:leader="dot" w:pos="9350"/>
            </w:tabs>
            <w:rPr>
              <w:rFonts w:asciiTheme="minorHAnsi" w:eastAsiaTheme="minorEastAsia" w:hAnsiTheme="minorHAnsi" w:cstheme="minorBidi"/>
              <w:noProof/>
              <w:sz w:val="24"/>
              <w:szCs w:val="24"/>
            </w:rPr>
          </w:pPr>
          <w:hyperlink w:anchor="_Toc241838543" w:history="1">
            <w:r w:rsidRPr="00934C31">
              <w:rPr>
                <w:rStyle w:val="Hyperlink"/>
                <w:rFonts w:ascii="Aptos" w:hAnsi="Aptos"/>
                <w:noProof/>
              </w:rPr>
              <w:t>Introduction</w:t>
            </w:r>
            <w:r>
              <w:rPr>
                <w:noProof/>
                <w:webHidden/>
              </w:rPr>
              <w:tab/>
            </w:r>
            <w:r>
              <w:rPr>
                <w:noProof/>
                <w:webHidden/>
              </w:rPr>
              <w:fldChar w:fldCharType="begin"/>
            </w:r>
            <w:r>
              <w:rPr>
                <w:noProof/>
                <w:webHidden/>
              </w:rPr>
              <w:instrText xml:space="preserve"> PAGEREF _Toc241838543 \h </w:instrText>
            </w:r>
            <w:r>
              <w:rPr>
                <w:noProof/>
                <w:webHidden/>
              </w:rPr>
            </w:r>
            <w:r>
              <w:rPr>
                <w:noProof/>
                <w:webHidden/>
              </w:rPr>
              <w:fldChar w:fldCharType="separate"/>
            </w:r>
            <w:r w:rsidR="005F228B">
              <w:rPr>
                <w:noProof/>
                <w:webHidden/>
              </w:rPr>
              <w:t>4</w:t>
            </w:r>
            <w:r>
              <w:rPr>
                <w:noProof/>
                <w:webHidden/>
              </w:rPr>
              <w:fldChar w:fldCharType="end"/>
            </w:r>
          </w:hyperlink>
        </w:p>
        <w:p w14:paraId="79BD9CC4" w14:textId="5DF6F40A" w:rsidR="00E71BE9" w:rsidRDefault="00E71BE9">
          <w:pPr>
            <w:pStyle w:val="TOC2"/>
            <w:tabs>
              <w:tab w:val="right" w:leader="dot" w:pos="9350"/>
            </w:tabs>
            <w:rPr>
              <w:rFonts w:asciiTheme="minorHAnsi" w:eastAsiaTheme="minorEastAsia" w:hAnsiTheme="minorHAnsi" w:cstheme="minorBidi"/>
              <w:noProof/>
              <w:sz w:val="24"/>
              <w:szCs w:val="24"/>
            </w:rPr>
          </w:pPr>
          <w:hyperlink w:anchor="_Toc241838544" w:history="1">
            <w:r w:rsidRPr="00934C31">
              <w:rPr>
                <w:rStyle w:val="Hyperlink"/>
                <w:rFonts w:ascii="Aptos" w:hAnsi="Aptos"/>
                <w:noProof/>
              </w:rPr>
              <w:t>Discussion</w:t>
            </w:r>
            <w:r>
              <w:rPr>
                <w:noProof/>
                <w:webHidden/>
              </w:rPr>
              <w:tab/>
            </w:r>
            <w:r>
              <w:rPr>
                <w:noProof/>
                <w:webHidden/>
              </w:rPr>
              <w:fldChar w:fldCharType="begin"/>
            </w:r>
            <w:r>
              <w:rPr>
                <w:noProof/>
                <w:webHidden/>
              </w:rPr>
              <w:instrText xml:space="preserve"> PAGEREF _Toc241838544 \h </w:instrText>
            </w:r>
            <w:r>
              <w:rPr>
                <w:noProof/>
                <w:webHidden/>
              </w:rPr>
            </w:r>
            <w:r>
              <w:rPr>
                <w:noProof/>
                <w:webHidden/>
              </w:rPr>
              <w:fldChar w:fldCharType="separate"/>
            </w:r>
            <w:r w:rsidR="005F228B">
              <w:rPr>
                <w:noProof/>
                <w:webHidden/>
              </w:rPr>
              <w:t>5</w:t>
            </w:r>
            <w:r>
              <w:rPr>
                <w:noProof/>
                <w:webHidden/>
              </w:rPr>
              <w:fldChar w:fldCharType="end"/>
            </w:r>
          </w:hyperlink>
        </w:p>
        <w:p w14:paraId="7A33F66C" w14:textId="386EFBC8" w:rsidR="00E71BE9" w:rsidRDefault="00E71BE9">
          <w:pPr>
            <w:pStyle w:val="TOC3"/>
            <w:tabs>
              <w:tab w:val="right" w:leader="dot" w:pos="9350"/>
            </w:tabs>
            <w:rPr>
              <w:rFonts w:asciiTheme="minorHAnsi" w:eastAsiaTheme="minorEastAsia" w:hAnsiTheme="minorHAnsi" w:cstheme="minorBidi"/>
              <w:noProof/>
              <w:sz w:val="24"/>
              <w:szCs w:val="24"/>
            </w:rPr>
          </w:pPr>
          <w:hyperlink w:anchor="_Toc241838545" w:history="1">
            <w:r w:rsidRPr="00934C31">
              <w:rPr>
                <w:rStyle w:val="Hyperlink"/>
                <w:rFonts w:ascii="Aptos" w:hAnsi="Aptos"/>
                <w:noProof/>
              </w:rPr>
              <w:t>Legislative Mandate</w:t>
            </w:r>
            <w:r>
              <w:rPr>
                <w:noProof/>
                <w:webHidden/>
              </w:rPr>
              <w:tab/>
            </w:r>
            <w:r>
              <w:rPr>
                <w:noProof/>
                <w:webHidden/>
              </w:rPr>
              <w:fldChar w:fldCharType="begin"/>
            </w:r>
            <w:r>
              <w:rPr>
                <w:noProof/>
                <w:webHidden/>
              </w:rPr>
              <w:instrText xml:space="preserve"> PAGEREF _Toc241838545 \h </w:instrText>
            </w:r>
            <w:r>
              <w:rPr>
                <w:noProof/>
                <w:webHidden/>
              </w:rPr>
            </w:r>
            <w:r>
              <w:rPr>
                <w:noProof/>
                <w:webHidden/>
              </w:rPr>
              <w:fldChar w:fldCharType="separate"/>
            </w:r>
            <w:r w:rsidR="005F228B">
              <w:rPr>
                <w:noProof/>
                <w:webHidden/>
              </w:rPr>
              <w:t>5</w:t>
            </w:r>
            <w:r>
              <w:rPr>
                <w:noProof/>
                <w:webHidden/>
              </w:rPr>
              <w:fldChar w:fldCharType="end"/>
            </w:r>
          </w:hyperlink>
        </w:p>
        <w:p w14:paraId="36818ABD" w14:textId="56974A77" w:rsidR="00E71BE9" w:rsidRDefault="00E71BE9">
          <w:pPr>
            <w:pStyle w:val="TOC3"/>
            <w:tabs>
              <w:tab w:val="right" w:leader="dot" w:pos="9350"/>
            </w:tabs>
            <w:rPr>
              <w:rFonts w:asciiTheme="minorHAnsi" w:eastAsiaTheme="minorEastAsia" w:hAnsiTheme="minorHAnsi" w:cstheme="minorBidi"/>
              <w:noProof/>
              <w:sz w:val="24"/>
              <w:szCs w:val="24"/>
            </w:rPr>
          </w:pPr>
          <w:hyperlink w:anchor="_Toc241838546" w:history="1">
            <w:r w:rsidRPr="00934C31">
              <w:rPr>
                <w:rStyle w:val="Hyperlink"/>
                <w:rFonts w:ascii="Aptos" w:hAnsi="Aptos"/>
                <w:noProof/>
              </w:rPr>
              <w:t>Benefits of SBHC’s</w:t>
            </w:r>
            <w:r>
              <w:rPr>
                <w:noProof/>
                <w:webHidden/>
              </w:rPr>
              <w:tab/>
            </w:r>
            <w:r>
              <w:rPr>
                <w:noProof/>
                <w:webHidden/>
              </w:rPr>
              <w:fldChar w:fldCharType="begin"/>
            </w:r>
            <w:r>
              <w:rPr>
                <w:noProof/>
                <w:webHidden/>
              </w:rPr>
              <w:instrText xml:space="preserve"> PAGEREF _Toc241838546 \h </w:instrText>
            </w:r>
            <w:r>
              <w:rPr>
                <w:noProof/>
                <w:webHidden/>
              </w:rPr>
            </w:r>
            <w:r>
              <w:rPr>
                <w:noProof/>
                <w:webHidden/>
              </w:rPr>
              <w:fldChar w:fldCharType="separate"/>
            </w:r>
            <w:r w:rsidR="005F228B">
              <w:rPr>
                <w:noProof/>
                <w:webHidden/>
              </w:rPr>
              <w:t>5</w:t>
            </w:r>
            <w:r>
              <w:rPr>
                <w:noProof/>
                <w:webHidden/>
              </w:rPr>
              <w:fldChar w:fldCharType="end"/>
            </w:r>
          </w:hyperlink>
        </w:p>
        <w:p w14:paraId="22B45818" w14:textId="696BDC42" w:rsidR="00E71BE9" w:rsidRDefault="00E71BE9">
          <w:pPr>
            <w:pStyle w:val="TOC3"/>
            <w:tabs>
              <w:tab w:val="right" w:leader="dot" w:pos="9350"/>
            </w:tabs>
            <w:rPr>
              <w:rFonts w:asciiTheme="minorHAnsi" w:eastAsiaTheme="minorEastAsia" w:hAnsiTheme="minorHAnsi" w:cstheme="minorBidi"/>
              <w:noProof/>
              <w:sz w:val="24"/>
              <w:szCs w:val="24"/>
            </w:rPr>
          </w:pPr>
          <w:hyperlink w:anchor="_Toc241838547" w:history="1">
            <w:r w:rsidRPr="00934C31">
              <w:rPr>
                <w:rStyle w:val="Hyperlink"/>
                <w:rFonts w:ascii="Aptos" w:hAnsi="Aptos"/>
                <w:noProof/>
              </w:rPr>
              <w:t>Challenges &amp; Barriers Facing SBHC’s in CT</w:t>
            </w:r>
            <w:r>
              <w:rPr>
                <w:noProof/>
                <w:webHidden/>
              </w:rPr>
              <w:tab/>
            </w:r>
            <w:r>
              <w:rPr>
                <w:noProof/>
                <w:webHidden/>
              </w:rPr>
              <w:fldChar w:fldCharType="begin"/>
            </w:r>
            <w:r>
              <w:rPr>
                <w:noProof/>
                <w:webHidden/>
              </w:rPr>
              <w:instrText xml:space="preserve"> PAGEREF _Toc241838547 \h </w:instrText>
            </w:r>
            <w:r>
              <w:rPr>
                <w:noProof/>
                <w:webHidden/>
              </w:rPr>
            </w:r>
            <w:r>
              <w:rPr>
                <w:noProof/>
                <w:webHidden/>
              </w:rPr>
              <w:fldChar w:fldCharType="separate"/>
            </w:r>
            <w:r w:rsidR="005F228B">
              <w:rPr>
                <w:noProof/>
                <w:webHidden/>
              </w:rPr>
              <w:t>7</w:t>
            </w:r>
            <w:r>
              <w:rPr>
                <w:noProof/>
                <w:webHidden/>
              </w:rPr>
              <w:fldChar w:fldCharType="end"/>
            </w:r>
          </w:hyperlink>
        </w:p>
        <w:p w14:paraId="7BA4459D" w14:textId="60F6E1CC" w:rsidR="00E71BE9" w:rsidRDefault="00E71BE9">
          <w:pPr>
            <w:pStyle w:val="TOC3"/>
            <w:tabs>
              <w:tab w:val="right" w:leader="dot" w:pos="9350"/>
            </w:tabs>
            <w:rPr>
              <w:rFonts w:asciiTheme="minorHAnsi" w:eastAsiaTheme="minorEastAsia" w:hAnsiTheme="minorHAnsi" w:cstheme="minorBidi"/>
              <w:noProof/>
              <w:sz w:val="24"/>
              <w:szCs w:val="24"/>
            </w:rPr>
          </w:pPr>
          <w:hyperlink w:anchor="_Toc241838548" w:history="1">
            <w:r w:rsidRPr="00934C31">
              <w:rPr>
                <w:rStyle w:val="Hyperlink"/>
                <w:rFonts w:ascii="Aptos" w:hAnsi="Aptos"/>
                <w:noProof/>
              </w:rPr>
              <w:t>Innovations &amp; Meeting Urgent Needs</w:t>
            </w:r>
            <w:r>
              <w:rPr>
                <w:noProof/>
                <w:webHidden/>
              </w:rPr>
              <w:tab/>
            </w:r>
            <w:r>
              <w:rPr>
                <w:noProof/>
                <w:webHidden/>
              </w:rPr>
              <w:fldChar w:fldCharType="begin"/>
            </w:r>
            <w:r>
              <w:rPr>
                <w:noProof/>
                <w:webHidden/>
              </w:rPr>
              <w:instrText xml:space="preserve"> PAGEREF _Toc241838548 \h </w:instrText>
            </w:r>
            <w:r>
              <w:rPr>
                <w:noProof/>
                <w:webHidden/>
              </w:rPr>
            </w:r>
            <w:r>
              <w:rPr>
                <w:noProof/>
                <w:webHidden/>
              </w:rPr>
              <w:fldChar w:fldCharType="separate"/>
            </w:r>
            <w:r w:rsidR="005F228B">
              <w:rPr>
                <w:noProof/>
                <w:webHidden/>
              </w:rPr>
              <w:t>9</w:t>
            </w:r>
            <w:r>
              <w:rPr>
                <w:noProof/>
                <w:webHidden/>
              </w:rPr>
              <w:fldChar w:fldCharType="end"/>
            </w:r>
          </w:hyperlink>
        </w:p>
        <w:p w14:paraId="680FA160" w14:textId="067402E2" w:rsidR="00E71BE9" w:rsidRDefault="00E71BE9">
          <w:pPr>
            <w:pStyle w:val="TOC3"/>
            <w:tabs>
              <w:tab w:val="right" w:leader="dot" w:pos="9350"/>
            </w:tabs>
            <w:rPr>
              <w:rFonts w:asciiTheme="minorHAnsi" w:eastAsiaTheme="minorEastAsia" w:hAnsiTheme="minorHAnsi" w:cstheme="minorBidi"/>
              <w:noProof/>
              <w:sz w:val="24"/>
              <w:szCs w:val="24"/>
            </w:rPr>
          </w:pPr>
          <w:hyperlink w:anchor="_Toc241838549" w:history="1">
            <w:r w:rsidRPr="00934C31">
              <w:rPr>
                <w:rStyle w:val="Hyperlink"/>
                <w:rFonts w:ascii="Aptos" w:hAnsi="Aptos"/>
                <w:noProof/>
              </w:rPr>
              <w:t>Partnerships</w:t>
            </w:r>
            <w:r>
              <w:rPr>
                <w:noProof/>
                <w:webHidden/>
              </w:rPr>
              <w:tab/>
            </w:r>
            <w:r>
              <w:rPr>
                <w:noProof/>
                <w:webHidden/>
              </w:rPr>
              <w:fldChar w:fldCharType="begin"/>
            </w:r>
            <w:r>
              <w:rPr>
                <w:noProof/>
                <w:webHidden/>
              </w:rPr>
              <w:instrText xml:space="preserve"> PAGEREF _Toc241838549 \h </w:instrText>
            </w:r>
            <w:r>
              <w:rPr>
                <w:noProof/>
                <w:webHidden/>
              </w:rPr>
            </w:r>
            <w:r>
              <w:rPr>
                <w:noProof/>
                <w:webHidden/>
              </w:rPr>
              <w:fldChar w:fldCharType="separate"/>
            </w:r>
            <w:r w:rsidR="005F228B">
              <w:rPr>
                <w:noProof/>
                <w:webHidden/>
              </w:rPr>
              <w:t>1</w:t>
            </w:r>
            <w:r w:rsidR="005B7EA3">
              <w:rPr>
                <w:noProof/>
                <w:webHidden/>
              </w:rPr>
              <w:t>2</w:t>
            </w:r>
            <w:r>
              <w:rPr>
                <w:noProof/>
                <w:webHidden/>
              </w:rPr>
              <w:fldChar w:fldCharType="end"/>
            </w:r>
          </w:hyperlink>
        </w:p>
        <w:p w14:paraId="3AAEDE21" w14:textId="21251DB8" w:rsidR="00E71BE9" w:rsidRDefault="00E71BE9">
          <w:pPr>
            <w:pStyle w:val="TOC3"/>
            <w:tabs>
              <w:tab w:val="right" w:leader="dot" w:pos="9350"/>
            </w:tabs>
            <w:rPr>
              <w:rFonts w:asciiTheme="minorHAnsi" w:eastAsiaTheme="minorEastAsia" w:hAnsiTheme="minorHAnsi" w:cstheme="minorBidi"/>
              <w:noProof/>
              <w:sz w:val="24"/>
              <w:szCs w:val="24"/>
            </w:rPr>
          </w:pPr>
          <w:hyperlink w:anchor="_Toc241838550" w:history="1">
            <w:r w:rsidRPr="00934C31">
              <w:rPr>
                <w:rStyle w:val="Hyperlink"/>
                <w:rFonts w:ascii="Aptos" w:hAnsi="Aptos"/>
                <w:noProof/>
              </w:rPr>
              <w:t>Recommendations</w:t>
            </w:r>
            <w:r>
              <w:rPr>
                <w:noProof/>
                <w:webHidden/>
              </w:rPr>
              <w:tab/>
            </w:r>
            <w:r>
              <w:rPr>
                <w:noProof/>
                <w:webHidden/>
              </w:rPr>
              <w:fldChar w:fldCharType="begin"/>
            </w:r>
            <w:r>
              <w:rPr>
                <w:noProof/>
                <w:webHidden/>
              </w:rPr>
              <w:instrText xml:space="preserve"> PAGEREF _Toc241838550 \h </w:instrText>
            </w:r>
            <w:r>
              <w:rPr>
                <w:noProof/>
                <w:webHidden/>
              </w:rPr>
            </w:r>
            <w:r>
              <w:rPr>
                <w:noProof/>
                <w:webHidden/>
              </w:rPr>
              <w:fldChar w:fldCharType="separate"/>
            </w:r>
            <w:r w:rsidR="005F228B">
              <w:rPr>
                <w:noProof/>
                <w:webHidden/>
              </w:rPr>
              <w:t>1</w:t>
            </w:r>
            <w:r w:rsidR="005B7EA3">
              <w:rPr>
                <w:noProof/>
                <w:webHidden/>
              </w:rPr>
              <w:t>4</w:t>
            </w:r>
            <w:r>
              <w:rPr>
                <w:noProof/>
                <w:webHidden/>
              </w:rPr>
              <w:fldChar w:fldCharType="end"/>
            </w:r>
          </w:hyperlink>
        </w:p>
        <w:p w14:paraId="618C744C" w14:textId="719A97EB" w:rsidR="00E71BE9" w:rsidRDefault="00E71BE9">
          <w:pPr>
            <w:pStyle w:val="TOC2"/>
            <w:tabs>
              <w:tab w:val="right" w:leader="dot" w:pos="9350"/>
            </w:tabs>
            <w:rPr>
              <w:rFonts w:asciiTheme="minorHAnsi" w:eastAsiaTheme="minorEastAsia" w:hAnsiTheme="minorHAnsi" w:cstheme="minorBidi"/>
              <w:noProof/>
              <w:sz w:val="24"/>
              <w:szCs w:val="24"/>
            </w:rPr>
          </w:pPr>
          <w:hyperlink w:anchor="_Toc241838551" w:history="1">
            <w:r w:rsidRPr="00934C31">
              <w:rPr>
                <w:rStyle w:val="Hyperlink"/>
                <w:rFonts w:ascii="Aptos" w:hAnsi="Aptos"/>
                <w:noProof/>
              </w:rPr>
              <w:t>Conclusion</w:t>
            </w:r>
            <w:r>
              <w:rPr>
                <w:noProof/>
                <w:webHidden/>
              </w:rPr>
              <w:tab/>
            </w:r>
            <w:r>
              <w:rPr>
                <w:noProof/>
                <w:webHidden/>
              </w:rPr>
              <w:fldChar w:fldCharType="begin"/>
            </w:r>
            <w:r>
              <w:rPr>
                <w:noProof/>
                <w:webHidden/>
              </w:rPr>
              <w:instrText xml:space="preserve"> PAGEREF _Toc241838551 \h </w:instrText>
            </w:r>
            <w:r>
              <w:rPr>
                <w:noProof/>
                <w:webHidden/>
              </w:rPr>
            </w:r>
            <w:r>
              <w:rPr>
                <w:noProof/>
                <w:webHidden/>
              </w:rPr>
              <w:fldChar w:fldCharType="separate"/>
            </w:r>
            <w:r w:rsidR="005F228B">
              <w:rPr>
                <w:noProof/>
                <w:webHidden/>
              </w:rPr>
              <w:t>1</w:t>
            </w:r>
            <w:r w:rsidR="005B7EA3">
              <w:rPr>
                <w:noProof/>
                <w:webHidden/>
              </w:rPr>
              <w:t>8</w:t>
            </w:r>
            <w:r>
              <w:rPr>
                <w:noProof/>
                <w:webHidden/>
              </w:rPr>
              <w:fldChar w:fldCharType="end"/>
            </w:r>
          </w:hyperlink>
        </w:p>
        <w:p w14:paraId="50819F48" w14:textId="256B6B6F" w:rsidR="2E52C192" w:rsidRPr="002A5211" w:rsidRDefault="2E52C192" w:rsidP="2E52C192">
          <w:pPr>
            <w:pStyle w:val="TOC2"/>
            <w:tabs>
              <w:tab w:val="right" w:leader="dot" w:pos="9345"/>
            </w:tabs>
            <w:rPr>
              <w:rStyle w:val="Hyperlink"/>
              <w:rFonts w:ascii="Aptos" w:hAnsi="Aptos"/>
            </w:rPr>
          </w:pPr>
          <w:r w:rsidRPr="002A5211">
            <w:rPr>
              <w:rFonts w:ascii="Aptos" w:hAnsi="Aptos"/>
            </w:rPr>
            <w:fldChar w:fldCharType="end"/>
          </w:r>
        </w:p>
      </w:sdtContent>
    </w:sdt>
    <w:p w14:paraId="3CDEFF0D" w14:textId="6F58C54E" w:rsidR="00CD50DB" w:rsidRPr="002A5211" w:rsidRDefault="00CD50DB" w:rsidP="00FB72AA">
      <w:pPr>
        <w:rPr>
          <w:rFonts w:ascii="Aptos" w:hAnsi="Aptos"/>
        </w:rPr>
      </w:pPr>
    </w:p>
    <w:p w14:paraId="0C5DC0FC" w14:textId="293CDA49" w:rsidR="009C453C" w:rsidRPr="002A5211" w:rsidRDefault="009C453C" w:rsidP="00FB72AA">
      <w:pPr>
        <w:rPr>
          <w:rFonts w:ascii="Aptos" w:hAnsi="Aptos"/>
        </w:rPr>
      </w:pPr>
    </w:p>
    <w:p w14:paraId="2EBFAD75" w14:textId="0A6E343A" w:rsidR="00DE7F77" w:rsidRPr="002A5211" w:rsidRDefault="00DE7F77" w:rsidP="00FB72AA">
      <w:pPr>
        <w:rPr>
          <w:rFonts w:ascii="Aptos" w:hAnsi="Aptos"/>
        </w:rPr>
      </w:pPr>
      <w:r w:rsidRPr="002A5211">
        <w:rPr>
          <w:rFonts w:ascii="Aptos" w:hAnsi="Aptos"/>
        </w:rPr>
        <w:br w:type="page"/>
      </w:r>
    </w:p>
    <w:p w14:paraId="7DD9472A" w14:textId="0A7939C3" w:rsidR="00DE7F77" w:rsidRPr="007C433B" w:rsidRDefault="008C7042" w:rsidP="00FB72AA">
      <w:pPr>
        <w:pStyle w:val="Heading2"/>
        <w:rPr>
          <w:rFonts w:ascii="Aptos" w:hAnsi="Aptos"/>
          <w:color w:val="0771BB" w:themeColor="accent1"/>
        </w:rPr>
      </w:pPr>
      <w:bookmarkStart w:id="1" w:name="_Toc241838540"/>
      <w:r w:rsidRPr="007C433B">
        <w:rPr>
          <w:rFonts w:ascii="Aptos" w:hAnsi="Aptos"/>
          <w:color w:val="0771BB" w:themeColor="accent1"/>
        </w:rPr>
        <w:lastRenderedPageBreak/>
        <w:t>Executive Summary</w:t>
      </w:r>
      <w:bookmarkEnd w:id="1"/>
    </w:p>
    <w:p w14:paraId="0206DB74" w14:textId="5C0D2B9D" w:rsidR="0017165C" w:rsidRDefault="009F76BA" w:rsidP="00FB72AA">
      <w:pPr>
        <w:rPr>
          <w:rFonts w:ascii="Aptos" w:hAnsi="Aptos"/>
        </w:rPr>
      </w:pPr>
      <w:r w:rsidRPr="009F76BA">
        <w:rPr>
          <w:rFonts w:ascii="Aptos" w:hAnsi="Aptos"/>
        </w:rPr>
        <w:t>In 202</w:t>
      </w:r>
      <w:r w:rsidR="001D30A9">
        <w:rPr>
          <w:rFonts w:ascii="Aptos" w:hAnsi="Aptos"/>
        </w:rPr>
        <w:t>6</w:t>
      </w:r>
      <w:r w:rsidRPr="009F76BA">
        <w:rPr>
          <w:rFonts w:ascii="Aptos" w:hAnsi="Aptos"/>
        </w:rPr>
        <w:t>, Connecticut's School-Based Health Centers (SBHCs), supported by the Connecticut Association of School Based Health Centers (CASBHC), continued to provide critical access to medical, behavioral health, oral health, prevention, and other services for children and adolescents. CASBHC and SBHC sponsoring organizations worked across state agencies, policymakers, schools, healthcare organizations, and community partners to strengthen access and address the policy, funding, workforce, reimbursement, and infrastructure challenges affecting the sustainability of school-based healthcare.</w:t>
      </w:r>
    </w:p>
    <w:p w14:paraId="403CAF81" w14:textId="100B0454" w:rsidR="009F76BA" w:rsidRDefault="009F76BA" w:rsidP="00FB72AA">
      <w:pPr>
        <w:rPr>
          <w:rFonts w:ascii="Aptos" w:hAnsi="Aptos"/>
        </w:rPr>
      </w:pPr>
      <w:r>
        <w:rPr>
          <w:rFonts w:ascii="Aptos" w:hAnsi="Aptos"/>
        </w:rPr>
        <w:t>Highlights Include:</w:t>
      </w:r>
    </w:p>
    <w:p w14:paraId="1689692B" w14:textId="77777777" w:rsidR="009F76BA" w:rsidRPr="009F76BA" w:rsidRDefault="009F76BA" w:rsidP="009F76BA">
      <w:pPr>
        <w:pStyle w:val="ListParagraph"/>
        <w:numPr>
          <w:ilvl w:val="0"/>
          <w:numId w:val="4"/>
        </w:numPr>
        <w:rPr>
          <w:rFonts w:ascii="Aptos" w:hAnsi="Aptos"/>
        </w:rPr>
      </w:pPr>
      <w:r w:rsidRPr="009F76BA">
        <w:rPr>
          <w:rFonts w:ascii="Aptos" w:hAnsi="Aptos"/>
        </w:rPr>
        <w:t>Policy and legislative engagement: SBHCs responded to new and evolving state requirements, including the 2027 mandate for disordered-eating screening for students in grades 6–12. Implementation considerations highlighted the need for adequate workforce, training, reimbursement, and administrative capacity.</w:t>
      </w:r>
    </w:p>
    <w:p w14:paraId="309450EB" w14:textId="7206F899" w:rsidR="009F76BA" w:rsidRDefault="00FA3D00" w:rsidP="00FA3D00">
      <w:pPr>
        <w:pStyle w:val="ListParagraph"/>
        <w:numPr>
          <w:ilvl w:val="0"/>
          <w:numId w:val="4"/>
        </w:numPr>
        <w:rPr>
          <w:rFonts w:ascii="Aptos" w:hAnsi="Aptos"/>
        </w:rPr>
      </w:pPr>
      <w:r>
        <w:rPr>
          <w:rFonts w:ascii="Aptos" w:hAnsi="Aptos"/>
        </w:rPr>
        <w:t xml:space="preserve">Funding &amp; </w:t>
      </w:r>
      <w:r w:rsidR="009F76BA" w:rsidRPr="009F76BA">
        <w:rPr>
          <w:rFonts w:ascii="Aptos" w:hAnsi="Aptos"/>
        </w:rPr>
        <w:t>Sustainability: Rising costs, workforce shortages, reimbursement limitations, and variation in state support continued to challenge the sustainability of individual SBHC sites. CASBHC began gathering site-level information to better understand the state investment needed to sustain the statewide SBHC infrastructure.</w:t>
      </w:r>
      <w:r>
        <w:rPr>
          <w:rFonts w:ascii="Aptos" w:hAnsi="Aptos"/>
        </w:rPr>
        <w:t xml:space="preserve"> </w:t>
      </w:r>
      <w:r w:rsidRPr="00FA3D00">
        <w:rPr>
          <w:rFonts w:ascii="Aptos" w:hAnsi="Aptos"/>
        </w:rPr>
        <w:t>Medicaid reimbursement continues to be central to the sustainability of the SBHC model.</w:t>
      </w:r>
      <w:r>
        <w:rPr>
          <w:rFonts w:ascii="Aptos" w:hAnsi="Aptos"/>
        </w:rPr>
        <w:t xml:space="preserve"> </w:t>
      </w:r>
      <w:r w:rsidRPr="00FA3D00">
        <w:rPr>
          <w:rFonts w:ascii="Aptos" w:hAnsi="Aptos"/>
        </w:rPr>
        <w:t>CASBHC continues to support policies that recognize SBHCs as healthcare delivery sites and strengthen their ability to maximize appropriate Medicaid and other third-party reimbursement while preserving access for students.</w:t>
      </w:r>
    </w:p>
    <w:p w14:paraId="791F228F" w14:textId="08E13DD2" w:rsidR="00FA3D00" w:rsidRPr="00C12FCE" w:rsidRDefault="00FA3D00" w:rsidP="005E3AE0">
      <w:pPr>
        <w:pStyle w:val="ListParagraph"/>
        <w:numPr>
          <w:ilvl w:val="0"/>
          <w:numId w:val="4"/>
        </w:numPr>
        <w:rPr>
          <w:rFonts w:ascii="Aptos" w:hAnsi="Aptos"/>
        </w:rPr>
      </w:pPr>
      <w:r w:rsidRPr="00C12FCE">
        <w:rPr>
          <w:rFonts w:ascii="Aptos" w:hAnsi="Aptos"/>
        </w:rPr>
        <w:t>Statewide data and system planning: Increased attention to the statewide SBHC landscape, including service models, locations, funding, and populations served, underscored the importance of accurate data for future funding, workforce, equity, and policy decisions.  This work is particularly important as Connecticut considers how its existing statutory definitions of School-Based Health Centers and Expanded School Health Sites align with federal terminology and evolving healthcare policy. The SBHC sponsoring organizations have emphasized that any consideration of changes to these definitions should recognize Connecticut's existing service-delivery models and carefully evaluate the potential impact on standalone behavioral health, medical, dental, and other school-based programs.</w:t>
      </w:r>
    </w:p>
    <w:p w14:paraId="44F106FC" w14:textId="77777777" w:rsidR="009F76BA" w:rsidRPr="009F76BA" w:rsidRDefault="009F76BA" w:rsidP="009F76BA">
      <w:pPr>
        <w:pStyle w:val="ListParagraph"/>
        <w:numPr>
          <w:ilvl w:val="0"/>
          <w:numId w:val="4"/>
        </w:numPr>
        <w:rPr>
          <w:rFonts w:ascii="Aptos" w:hAnsi="Aptos"/>
        </w:rPr>
      </w:pPr>
      <w:r w:rsidRPr="009F76BA">
        <w:rPr>
          <w:rFonts w:ascii="Aptos" w:hAnsi="Aptos"/>
        </w:rPr>
        <w:t>Behavioral health and youth voice: SBHCs continued to play an important role in Connecticut’s behavioral health continuum while supporting youth engagement, peer support, and meaningful youth participation in decisions affecting their health.</w:t>
      </w:r>
    </w:p>
    <w:p w14:paraId="4A3B3D14" w14:textId="1EE9A987" w:rsidR="00FA3D00" w:rsidRPr="00FA3D00" w:rsidRDefault="00FA3D00" w:rsidP="00FA3D00">
      <w:pPr>
        <w:pStyle w:val="ListParagraph"/>
        <w:numPr>
          <w:ilvl w:val="0"/>
          <w:numId w:val="4"/>
        </w:numPr>
        <w:rPr>
          <w:rFonts w:ascii="Aptos" w:hAnsi="Aptos"/>
        </w:rPr>
      </w:pPr>
      <w:r>
        <w:rPr>
          <w:rFonts w:ascii="Aptos" w:hAnsi="Aptos"/>
        </w:rPr>
        <w:t xml:space="preserve">Workforce Development &amp; Provider Support: </w:t>
      </w:r>
      <w:r w:rsidRPr="00FA3D00">
        <w:rPr>
          <w:rFonts w:ascii="Aptos" w:hAnsi="Aptos"/>
        </w:rPr>
        <w:t>Recruitment and retention of qualified medical, behavioral health, dental, and other healthcare professionals continue to affect SBHC capacity.</w:t>
      </w:r>
      <w:r>
        <w:rPr>
          <w:rFonts w:ascii="Aptos" w:hAnsi="Aptos"/>
        </w:rPr>
        <w:t xml:space="preserve"> </w:t>
      </w:r>
      <w:r w:rsidRPr="00FA3D00">
        <w:rPr>
          <w:rFonts w:ascii="Aptos" w:hAnsi="Aptos"/>
        </w:rPr>
        <w:t xml:space="preserve">Our SBHC sponsoring </w:t>
      </w:r>
      <w:r w:rsidR="005F228B" w:rsidRPr="00FA3D00">
        <w:rPr>
          <w:rFonts w:ascii="Aptos" w:hAnsi="Aptos"/>
        </w:rPr>
        <w:t>organization’s</w:t>
      </w:r>
      <w:r w:rsidRPr="00FA3D00">
        <w:rPr>
          <w:rFonts w:ascii="Aptos" w:hAnsi="Aptos"/>
        </w:rPr>
        <w:t xml:space="preserve"> workforce needs were supported through continuing education, technical assistance, statewide information sharing, professional development, peer learning, and opportunities for providers and sponsoring organizations to collaborate around common challenges.</w:t>
      </w:r>
    </w:p>
    <w:p w14:paraId="69DB5611" w14:textId="52F2DDFE" w:rsidR="009F76BA" w:rsidRDefault="009F76BA" w:rsidP="009F76BA">
      <w:pPr>
        <w:pStyle w:val="ListParagraph"/>
        <w:numPr>
          <w:ilvl w:val="0"/>
          <w:numId w:val="4"/>
        </w:numPr>
        <w:rPr>
          <w:rFonts w:ascii="Aptos" w:hAnsi="Aptos"/>
        </w:rPr>
      </w:pPr>
      <w:r w:rsidRPr="009F76BA">
        <w:rPr>
          <w:rFonts w:ascii="Aptos" w:hAnsi="Aptos"/>
        </w:rPr>
        <w:t>Statewide coordination: CASBHC continued to convene SBHC sponsoring organizations and connect the field with state and community partners to elevate shared priorities and strengthen the school-based healthcare system.</w:t>
      </w:r>
    </w:p>
    <w:p w14:paraId="24E3CB85" w14:textId="45115425" w:rsidR="009F76BA" w:rsidRPr="002A5211" w:rsidRDefault="009F76BA" w:rsidP="00FB72AA">
      <w:pPr>
        <w:rPr>
          <w:rFonts w:ascii="Aptos" w:hAnsi="Aptos"/>
        </w:rPr>
      </w:pPr>
      <w:r w:rsidRPr="009F76BA">
        <w:rPr>
          <w:rFonts w:ascii="Aptos" w:hAnsi="Aptos"/>
        </w:rPr>
        <w:lastRenderedPageBreak/>
        <w:t>Looking Ahead</w:t>
      </w:r>
      <w:r>
        <w:rPr>
          <w:rFonts w:ascii="Aptos" w:hAnsi="Aptos"/>
        </w:rPr>
        <w:t>:</w:t>
      </w:r>
      <w:r w:rsidR="00907685">
        <w:rPr>
          <w:rFonts w:ascii="Aptos" w:hAnsi="Aptos"/>
        </w:rPr>
        <w:t xml:space="preserve"> </w:t>
      </w:r>
      <w:r w:rsidR="009B0AE2">
        <w:rPr>
          <w:rFonts w:ascii="Aptos" w:hAnsi="Aptos"/>
        </w:rPr>
        <w:t>Priorities</w:t>
      </w:r>
      <w:r w:rsidRPr="009F76BA">
        <w:rPr>
          <w:rFonts w:ascii="Aptos" w:hAnsi="Aptos"/>
        </w:rPr>
        <w:t xml:space="preserve"> include strengthening sustainable and equitable funding and reimbursement; supporting implementation of new requirements; maintaining accurate statewide data and demonstrating outcomes; addressing workforce and behavioral health capacity; and preserving a comprehensive continuum of school-based healthcare services.</w:t>
      </w:r>
    </w:p>
    <w:p w14:paraId="2E8E8DC6" w14:textId="338B7F68" w:rsidR="00B31B7E" w:rsidRPr="007C433B" w:rsidRDefault="00B31B7E" w:rsidP="00605B3B">
      <w:pPr>
        <w:pStyle w:val="Heading2"/>
        <w:rPr>
          <w:rFonts w:ascii="Aptos" w:hAnsi="Aptos"/>
          <w:color w:val="0771BB" w:themeColor="accent1"/>
        </w:rPr>
      </w:pPr>
      <w:bookmarkStart w:id="2" w:name="_Toc241838541"/>
      <w:r w:rsidRPr="007C433B">
        <w:rPr>
          <w:rFonts w:ascii="Aptos" w:hAnsi="Aptos"/>
          <w:color w:val="0771BB" w:themeColor="accent1"/>
        </w:rPr>
        <w:t xml:space="preserve">Committee </w:t>
      </w:r>
      <w:r w:rsidR="00DB39B3" w:rsidRPr="007C433B">
        <w:rPr>
          <w:rFonts w:ascii="Aptos" w:hAnsi="Aptos"/>
          <w:color w:val="0771BB" w:themeColor="accent1"/>
        </w:rPr>
        <w:t>Membership</w:t>
      </w:r>
      <w:bookmarkEnd w:id="2"/>
    </w:p>
    <w:tbl>
      <w:tblPr>
        <w:tblStyle w:val="TableGrid2"/>
        <w:tblW w:w="5126" w:type="pct"/>
        <w:jc w:val="center"/>
        <w:tblLook w:val="04A0" w:firstRow="1" w:lastRow="0" w:firstColumn="1" w:lastColumn="0" w:noHBand="0" w:noVBand="1"/>
      </w:tblPr>
      <w:tblGrid>
        <w:gridCol w:w="2696"/>
        <w:gridCol w:w="5040"/>
        <w:gridCol w:w="1850"/>
      </w:tblGrid>
      <w:tr w:rsidR="00FA3D00" w:rsidRPr="00A04322" w14:paraId="1F9E8D51" w14:textId="77777777" w:rsidTr="00C0002F">
        <w:trPr>
          <w:jc w:val="center"/>
        </w:trPr>
        <w:tc>
          <w:tcPr>
            <w:tcW w:w="1406" w:type="pct"/>
          </w:tcPr>
          <w:p w14:paraId="5DC95B51" w14:textId="77777777" w:rsidR="00FA3D00" w:rsidRPr="007C433B" w:rsidRDefault="00FA3D00" w:rsidP="00694633">
            <w:pPr>
              <w:jc w:val="center"/>
              <w:rPr>
                <w:rFonts w:ascii="Aptos" w:hAnsi="Aptos"/>
                <w:b/>
              </w:rPr>
            </w:pPr>
            <w:r w:rsidRPr="007C433B">
              <w:rPr>
                <w:rFonts w:ascii="Aptos" w:hAnsi="Aptos"/>
                <w:b/>
              </w:rPr>
              <w:t xml:space="preserve">Appointing Authority </w:t>
            </w:r>
          </w:p>
        </w:tc>
        <w:tc>
          <w:tcPr>
            <w:tcW w:w="2629" w:type="pct"/>
          </w:tcPr>
          <w:p w14:paraId="10C10E4B" w14:textId="77777777" w:rsidR="00FA3D00" w:rsidRPr="007C433B" w:rsidRDefault="00FA3D00" w:rsidP="00694633">
            <w:pPr>
              <w:jc w:val="center"/>
              <w:rPr>
                <w:rFonts w:ascii="Aptos" w:hAnsi="Aptos"/>
                <w:b/>
              </w:rPr>
            </w:pPr>
            <w:r w:rsidRPr="007C433B">
              <w:rPr>
                <w:rFonts w:ascii="Aptos" w:hAnsi="Aptos"/>
                <w:b/>
              </w:rPr>
              <w:t>Member Role</w:t>
            </w:r>
          </w:p>
        </w:tc>
        <w:tc>
          <w:tcPr>
            <w:tcW w:w="965" w:type="pct"/>
          </w:tcPr>
          <w:p w14:paraId="594DFAE2" w14:textId="77777777" w:rsidR="00FA3D00" w:rsidRPr="007C433B" w:rsidRDefault="00FA3D00" w:rsidP="00694633">
            <w:pPr>
              <w:jc w:val="center"/>
              <w:rPr>
                <w:rFonts w:ascii="Aptos" w:hAnsi="Aptos"/>
                <w:b/>
              </w:rPr>
            </w:pPr>
            <w:r w:rsidRPr="007C433B">
              <w:rPr>
                <w:rFonts w:ascii="Aptos" w:hAnsi="Aptos"/>
                <w:b/>
              </w:rPr>
              <w:t>Member Name</w:t>
            </w:r>
          </w:p>
        </w:tc>
      </w:tr>
      <w:tr w:rsidR="00FA3D00" w14:paraId="3328BF0F" w14:textId="77777777" w:rsidTr="00C0002F">
        <w:trPr>
          <w:jc w:val="center"/>
        </w:trPr>
        <w:tc>
          <w:tcPr>
            <w:tcW w:w="1406" w:type="pct"/>
          </w:tcPr>
          <w:p w14:paraId="20A00E68" w14:textId="77777777" w:rsidR="00FA3D00" w:rsidRPr="007C433B" w:rsidRDefault="00FA3D00" w:rsidP="00694633">
            <w:pPr>
              <w:rPr>
                <w:rFonts w:ascii="Aptos" w:hAnsi="Aptos"/>
              </w:rPr>
            </w:pPr>
            <w:r w:rsidRPr="007C433B">
              <w:rPr>
                <w:rFonts w:ascii="Aptos" w:hAnsi="Aptos"/>
              </w:rPr>
              <w:t>House speaker – Matthew Ritter</w:t>
            </w:r>
          </w:p>
        </w:tc>
        <w:tc>
          <w:tcPr>
            <w:tcW w:w="2629" w:type="pct"/>
          </w:tcPr>
          <w:p w14:paraId="3755652D" w14:textId="77777777" w:rsidR="00FA3D00" w:rsidRPr="007C433B" w:rsidRDefault="00FA3D00" w:rsidP="00694633">
            <w:pPr>
              <w:rPr>
                <w:rFonts w:ascii="Aptos" w:hAnsi="Aptos"/>
              </w:rPr>
            </w:pPr>
            <w:r w:rsidRPr="007C433B">
              <w:rPr>
                <w:rFonts w:ascii="Aptos" w:hAnsi="Aptos"/>
              </w:rPr>
              <w:t>One family advocate or parent whose child uses SBHC services</w:t>
            </w:r>
          </w:p>
        </w:tc>
        <w:tc>
          <w:tcPr>
            <w:tcW w:w="965" w:type="pct"/>
          </w:tcPr>
          <w:p w14:paraId="62174E6E" w14:textId="77777777" w:rsidR="00FA3D00" w:rsidRPr="007C433B" w:rsidRDefault="00FA3D00" w:rsidP="00694633">
            <w:pPr>
              <w:rPr>
                <w:rFonts w:ascii="Aptos" w:hAnsi="Aptos"/>
              </w:rPr>
            </w:pPr>
            <w:r w:rsidRPr="007C433B">
              <w:rPr>
                <w:rFonts w:ascii="Aptos" w:hAnsi="Aptos"/>
              </w:rPr>
              <w:t>John Flanders</w:t>
            </w:r>
          </w:p>
        </w:tc>
      </w:tr>
      <w:tr w:rsidR="00FA3D00" w14:paraId="014041F9" w14:textId="77777777" w:rsidTr="00C0002F">
        <w:trPr>
          <w:jc w:val="center"/>
        </w:trPr>
        <w:tc>
          <w:tcPr>
            <w:tcW w:w="1406" w:type="pct"/>
          </w:tcPr>
          <w:p w14:paraId="3D3667E9" w14:textId="77777777" w:rsidR="00FA3D00" w:rsidRPr="007C433B" w:rsidRDefault="00FA3D00" w:rsidP="00694633">
            <w:pPr>
              <w:rPr>
                <w:rFonts w:ascii="Aptos" w:hAnsi="Aptos"/>
              </w:rPr>
            </w:pPr>
            <w:r w:rsidRPr="007C433B">
              <w:rPr>
                <w:rFonts w:ascii="Aptos" w:hAnsi="Aptos"/>
              </w:rPr>
              <w:t xml:space="preserve">Senate president pro tempore – Martin Looney </w:t>
            </w:r>
          </w:p>
        </w:tc>
        <w:tc>
          <w:tcPr>
            <w:tcW w:w="2629" w:type="pct"/>
          </w:tcPr>
          <w:p w14:paraId="6B3D17BB" w14:textId="77777777" w:rsidR="00FA3D00" w:rsidRPr="007C433B" w:rsidRDefault="00FA3D00" w:rsidP="00694633">
            <w:pPr>
              <w:rPr>
                <w:rFonts w:ascii="Aptos" w:hAnsi="Aptos"/>
              </w:rPr>
            </w:pPr>
            <w:r w:rsidRPr="007C433B">
              <w:rPr>
                <w:rFonts w:ascii="Aptos" w:hAnsi="Aptos"/>
              </w:rPr>
              <w:t>One school nurse</w:t>
            </w:r>
          </w:p>
        </w:tc>
        <w:tc>
          <w:tcPr>
            <w:tcW w:w="965" w:type="pct"/>
          </w:tcPr>
          <w:p w14:paraId="21C442B8" w14:textId="77777777" w:rsidR="00FA3D00" w:rsidRPr="007C433B" w:rsidRDefault="00FA3D00" w:rsidP="00694633">
            <w:pPr>
              <w:rPr>
                <w:rFonts w:ascii="Aptos" w:hAnsi="Aptos"/>
              </w:rPr>
            </w:pPr>
            <w:r w:rsidRPr="007C433B">
              <w:rPr>
                <w:rFonts w:ascii="Aptos" w:hAnsi="Aptos"/>
              </w:rPr>
              <w:t>Christin Kondash</w:t>
            </w:r>
          </w:p>
        </w:tc>
      </w:tr>
      <w:tr w:rsidR="00FA3D00" w14:paraId="76758DDE" w14:textId="77777777" w:rsidTr="00C0002F">
        <w:trPr>
          <w:jc w:val="center"/>
        </w:trPr>
        <w:tc>
          <w:tcPr>
            <w:tcW w:w="1406" w:type="pct"/>
          </w:tcPr>
          <w:p w14:paraId="192F989E" w14:textId="77777777" w:rsidR="00FA3D00" w:rsidRPr="007C433B" w:rsidRDefault="00FA3D00" w:rsidP="00694633">
            <w:pPr>
              <w:rPr>
                <w:rFonts w:ascii="Aptos" w:hAnsi="Aptos"/>
              </w:rPr>
            </w:pPr>
            <w:r w:rsidRPr="007C433B">
              <w:rPr>
                <w:rFonts w:ascii="Aptos" w:hAnsi="Aptos"/>
              </w:rPr>
              <w:t xml:space="preserve">House majority leader - </w:t>
            </w:r>
            <w:r w:rsidRPr="007C433B">
              <w:rPr>
                <w:rFonts w:ascii="Aptos" w:hAnsi="Aptos" w:cstheme="minorHAnsi"/>
                <w:color w:val="202122"/>
                <w:shd w:val="clear" w:color="auto" w:fill="F8F9FA"/>
              </w:rPr>
              <w:t>Jason Rojas</w:t>
            </w:r>
          </w:p>
        </w:tc>
        <w:tc>
          <w:tcPr>
            <w:tcW w:w="2629" w:type="pct"/>
          </w:tcPr>
          <w:p w14:paraId="51FEB0DA" w14:textId="77777777" w:rsidR="00FA3D00" w:rsidRPr="007C433B" w:rsidRDefault="00FA3D00" w:rsidP="00694633">
            <w:pPr>
              <w:rPr>
                <w:rFonts w:ascii="Aptos" w:hAnsi="Aptos"/>
              </w:rPr>
            </w:pPr>
            <w:r w:rsidRPr="007C433B">
              <w:rPr>
                <w:rFonts w:ascii="Aptos" w:hAnsi="Aptos"/>
              </w:rPr>
              <w:t>One representative of a SBHC sponsored by a community health center</w:t>
            </w:r>
          </w:p>
        </w:tc>
        <w:tc>
          <w:tcPr>
            <w:tcW w:w="965" w:type="pct"/>
          </w:tcPr>
          <w:p w14:paraId="32D37D2A" w14:textId="77777777" w:rsidR="00FA3D00" w:rsidRPr="007C433B" w:rsidRDefault="00FA3D00" w:rsidP="00694633">
            <w:pPr>
              <w:rPr>
                <w:rFonts w:ascii="Aptos" w:hAnsi="Aptos"/>
              </w:rPr>
            </w:pPr>
            <w:r w:rsidRPr="007C433B">
              <w:rPr>
                <w:rFonts w:ascii="Aptos" w:hAnsi="Aptos"/>
              </w:rPr>
              <w:t>Tricia Orozco</w:t>
            </w:r>
          </w:p>
        </w:tc>
      </w:tr>
      <w:tr w:rsidR="00FA3D00" w:rsidRPr="002248BC" w14:paraId="247D43E5" w14:textId="77777777" w:rsidTr="00C0002F">
        <w:trPr>
          <w:jc w:val="center"/>
        </w:trPr>
        <w:tc>
          <w:tcPr>
            <w:tcW w:w="1406" w:type="pct"/>
          </w:tcPr>
          <w:p w14:paraId="16D08725" w14:textId="77777777" w:rsidR="00FA3D00" w:rsidRPr="007C433B" w:rsidRDefault="00FA3D00" w:rsidP="00694633">
            <w:pPr>
              <w:rPr>
                <w:rFonts w:ascii="Aptos" w:hAnsi="Aptos"/>
              </w:rPr>
            </w:pPr>
            <w:r w:rsidRPr="007C433B">
              <w:rPr>
                <w:rFonts w:ascii="Aptos" w:hAnsi="Aptos"/>
              </w:rPr>
              <w:t>Senate majority leader – Bob Duff</w:t>
            </w:r>
          </w:p>
        </w:tc>
        <w:tc>
          <w:tcPr>
            <w:tcW w:w="2629" w:type="pct"/>
          </w:tcPr>
          <w:p w14:paraId="58DD55E8" w14:textId="77777777" w:rsidR="00FA3D00" w:rsidRPr="007C433B" w:rsidRDefault="00FA3D00" w:rsidP="00694633">
            <w:pPr>
              <w:rPr>
                <w:rFonts w:ascii="Aptos" w:hAnsi="Aptos"/>
                <w:highlight w:val="yellow"/>
              </w:rPr>
            </w:pPr>
            <w:r w:rsidRPr="007C433B">
              <w:rPr>
                <w:rFonts w:ascii="Aptos" w:hAnsi="Aptos"/>
              </w:rPr>
              <w:t>One representative of a SBHC sponsored by a nonprofit healthcare agency</w:t>
            </w:r>
          </w:p>
        </w:tc>
        <w:tc>
          <w:tcPr>
            <w:tcW w:w="965" w:type="pct"/>
          </w:tcPr>
          <w:p w14:paraId="3E35795A" w14:textId="77777777" w:rsidR="00FA3D00" w:rsidRPr="007C433B" w:rsidRDefault="00FA3D00" w:rsidP="00694633">
            <w:pPr>
              <w:rPr>
                <w:rFonts w:ascii="Aptos" w:hAnsi="Aptos"/>
                <w:highlight w:val="yellow"/>
              </w:rPr>
            </w:pPr>
            <w:r w:rsidRPr="007C433B">
              <w:rPr>
                <w:rFonts w:ascii="Aptos" w:hAnsi="Aptos"/>
              </w:rPr>
              <w:t>Amanda Frechette</w:t>
            </w:r>
          </w:p>
        </w:tc>
      </w:tr>
      <w:tr w:rsidR="00FA3D00" w14:paraId="3D9028C7" w14:textId="77777777" w:rsidTr="00C0002F">
        <w:trPr>
          <w:jc w:val="center"/>
        </w:trPr>
        <w:tc>
          <w:tcPr>
            <w:tcW w:w="1406" w:type="pct"/>
          </w:tcPr>
          <w:p w14:paraId="74A265A1" w14:textId="77777777" w:rsidR="00FA3D00" w:rsidRPr="007C433B" w:rsidRDefault="00FA3D00" w:rsidP="00694633">
            <w:pPr>
              <w:rPr>
                <w:rFonts w:ascii="Aptos" w:hAnsi="Aptos"/>
              </w:rPr>
            </w:pPr>
            <w:r w:rsidRPr="007C433B">
              <w:rPr>
                <w:rFonts w:ascii="Aptos" w:hAnsi="Aptos"/>
              </w:rPr>
              <w:t>House minority leader - Vincent Candelora</w:t>
            </w:r>
          </w:p>
        </w:tc>
        <w:tc>
          <w:tcPr>
            <w:tcW w:w="2629" w:type="pct"/>
          </w:tcPr>
          <w:p w14:paraId="1521CF98" w14:textId="77777777" w:rsidR="00FA3D00" w:rsidRPr="007C433B" w:rsidRDefault="00FA3D00" w:rsidP="00694633">
            <w:pPr>
              <w:rPr>
                <w:rFonts w:ascii="Aptos" w:hAnsi="Aptos"/>
              </w:rPr>
            </w:pPr>
            <w:r w:rsidRPr="007C433B">
              <w:rPr>
                <w:rFonts w:ascii="Aptos" w:hAnsi="Aptos"/>
              </w:rPr>
              <w:t>One representative of a SBHC sponsored by a school or school system</w:t>
            </w:r>
          </w:p>
        </w:tc>
        <w:tc>
          <w:tcPr>
            <w:tcW w:w="965" w:type="pct"/>
          </w:tcPr>
          <w:p w14:paraId="4D25C8AB" w14:textId="77777777" w:rsidR="00FA3D00" w:rsidRPr="007C433B" w:rsidRDefault="00FA3D00" w:rsidP="00694633">
            <w:pPr>
              <w:rPr>
                <w:rFonts w:ascii="Aptos" w:hAnsi="Aptos"/>
              </w:rPr>
            </w:pPr>
            <w:r w:rsidRPr="007C433B">
              <w:rPr>
                <w:rFonts w:ascii="Aptos" w:hAnsi="Aptos"/>
              </w:rPr>
              <w:t>Pamela Neleber</w:t>
            </w:r>
          </w:p>
        </w:tc>
      </w:tr>
      <w:tr w:rsidR="00FA3D00" w14:paraId="05969131" w14:textId="77777777" w:rsidTr="00C0002F">
        <w:trPr>
          <w:jc w:val="center"/>
        </w:trPr>
        <w:tc>
          <w:tcPr>
            <w:tcW w:w="1406" w:type="pct"/>
          </w:tcPr>
          <w:p w14:paraId="5E794045" w14:textId="77777777" w:rsidR="00FA3D00" w:rsidRPr="007C433B" w:rsidRDefault="00FA3D00" w:rsidP="00694633">
            <w:pPr>
              <w:rPr>
                <w:rFonts w:ascii="Aptos" w:hAnsi="Aptos"/>
              </w:rPr>
            </w:pPr>
            <w:r w:rsidRPr="007C433B">
              <w:rPr>
                <w:rFonts w:ascii="Aptos" w:hAnsi="Aptos"/>
              </w:rPr>
              <w:t>Senate minority leader - Stephen Harding</w:t>
            </w:r>
          </w:p>
        </w:tc>
        <w:tc>
          <w:tcPr>
            <w:tcW w:w="2629" w:type="pct"/>
          </w:tcPr>
          <w:p w14:paraId="6CA37912" w14:textId="77777777" w:rsidR="00FA3D00" w:rsidRPr="007C433B" w:rsidRDefault="00FA3D00" w:rsidP="00694633">
            <w:pPr>
              <w:rPr>
                <w:rFonts w:ascii="Aptos" w:hAnsi="Aptos"/>
              </w:rPr>
            </w:pPr>
            <w:r w:rsidRPr="007C433B">
              <w:rPr>
                <w:rFonts w:ascii="Aptos" w:hAnsi="Aptos"/>
              </w:rPr>
              <w:t>One representative of a SBHC that does not receive state funds</w:t>
            </w:r>
          </w:p>
        </w:tc>
        <w:tc>
          <w:tcPr>
            <w:tcW w:w="965" w:type="pct"/>
          </w:tcPr>
          <w:p w14:paraId="566897DB" w14:textId="77777777" w:rsidR="00FA3D00" w:rsidRPr="007C433B" w:rsidRDefault="00FA3D00" w:rsidP="00694633">
            <w:pPr>
              <w:rPr>
                <w:rFonts w:ascii="Aptos" w:hAnsi="Aptos"/>
              </w:rPr>
            </w:pPr>
            <w:r w:rsidRPr="007C433B">
              <w:rPr>
                <w:rFonts w:ascii="Aptos" w:hAnsi="Aptos"/>
              </w:rPr>
              <w:t>Judy Kanz</w:t>
            </w:r>
          </w:p>
        </w:tc>
      </w:tr>
      <w:tr w:rsidR="00FA3D00" w14:paraId="7B8955D9" w14:textId="77777777" w:rsidTr="00C0002F">
        <w:trPr>
          <w:jc w:val="center"/>
        </w:trPr>
        <w:tc>
          <w:tcPr>
            <w:tcW w:w="1406" w:type="pct"/>
          </w:tcPr>
          <w:p w14:paraId="7C4CB61A" w14:textId="77777777" w:rsidR="00FA3D00" w:rsidRPr="007C433B" w:rsidRDefault="00FA3D00" w:rsidP="00694633">
            <w:pPr>
              <w:rPr>
                <w:rFonts w:ascii="Aptos" w:hAnsi="Aptos"/>
              </w:rPr>
            </w:pPr>
            <w:r w:rsidRPr="007C433B">
              <w:rPr>
                <w:rFonts w:ascii="Aptos" w:hAnsi="Aptos"/>
              </w:rPr>
              <w:t>Governor – Ned Lamont</w:t>
            </w:r>
          </w:p>
        </w:tc>
        <w:tc>
          <w:tcPr>
            <w:tcW w:w="2629" w:type="pct"/>
          </w:tcPr>
          <w:p w14:paraId="25F2F138" w14:textId="77777777" w:rsidR="00FA3D00" w:rsidRPr="007C433B" w:rsidRDefault="00FA3D00" w:rsidP="00694633">
            <w:pPr>
              <w:rPr>
                <w:rFonts w:ascii="Aptos" w:hAnsi="Aptos"/>
              </w:rPr>
            </w:pPr>
            <w:r w:rsidRPr="007C433B">
              <w:rPr>
                <w:rFonts w:ascii="Aptos" w:hAnsi="Aptos"/>
              </w:rPr>
              <w:t>One representative each of (a) the American Academy of Pediatrics’ Connecticut Chapter and (b) a hospital sponsored SBHC</w:t>
            </w:r>
          </w:p>
        </w:tc>
        <w:tc>
          <w:tcPr>
            <w:tcW w:w="965" w:type="pct"/>
          </w:tcPr>
          <w:p w14:paraId="741CA8DD" w14:textId="77777777" w:rsidR="00FA3D00" w:rsidRPr="007C433B" w:rsidRDefault="00FA3D00" w:rsidP="00694633">
            <w:pPr>
              <w:ind w:left="6"/>
              <w:rPr>
                <w:rFonts w:ascii="Aptos" w:hAnsi="Aptos"/>
              </w:rPr>
            </w:pPr>
            <w:r w:rsidRPr="007C433B">
              <w:rPr>
                <w:rFonts w:ascii="Aptos" w:hAnsi="Aptos"/>
              </w:rPr>
              <w:t xml:space="preserve">(a) Dr. Robert </w:t>
            </w:r>
            <w:proofErr w:type="spellStart"/>
            <w:r w:rsidRPr="007C433B">
              <w:rPr>
                <w:rFonts w:ascii="Aptos" w:hAnsi="Aptos"/>
              </w:rPr>
              <w:t>Dudly</w:t>
            </w:r>
            <w:proofErr w:type="spellEnd"/>
          </w:p>
          <w:p w14:paraId="0A8716FB" w14:textId="77777777" w:rsidR="00FA3D00" w:rsidRPr="007C433B" w:rsidRDefault="00FA3D00" w:rsidP="00694633">
            <w:pPr>
              <w:pStyle w:val="ListParagraph"/>
              <w:ind w:left="6"/>
              <w:rPr>
                <w:rFonts w:ascii="Aptos" w:hAnsi="Aptos"/>
              </w:rPr>
            </w:pPr>
            <w:r w:rsidRPr="007C433B">
              <w:rPr>
                <w:rFonts w:ascii="Aptos" w:hAnsi="Aptos"/>
              </w:rPr>
              <w:t>(b) Dr. Ranbir Bains</w:t>
            </w:r>
          </w:p>
        </w:tc>
      </w:tr>
      <w:tr w:rsidR="00FA3D00" w14:paraId="14911CE1" w14:textId="77777777" w:rsidTr="00C0002F">
        <w:trPr>
          <w:jc w:val="center"/>
        </w:trPr>
        <w:tc>
          <w:tcPr>
            <w:tcW w:w="1406" w:type="pct"/>
          </w:tcPr>
          <w:p w14:paraId="5EAF6EA6" w14:textId="77777777" w:rsidR="00FA3D00" w:rsidRPr="007C433B" w:rsidRDefault="00FA3D00" w:rsidP="00694633">
            <w:pPr>
              <w:rPr>
                <w:rFonts w:ascii="Aptos" w:hAnsi="Aptos"/>
              </w:rPr>
            </w:pPr>
            <w:r w:rsidRPr="007C433B">
              <w:rPr>
                <w:rFonts w:ascii="Aptos" w:hAnsi="Aptos"/>
              </w:rPr>
              <w:t xml:space="preserve">DPH Commissioner – Manisha </w:t>
            </w:r>
            <w:proofErr w:type="spellStart"/>
            <w:r w:rsidRPr="007C433B">
              <w:rPr>
                <w:rFonts w:ascii="Aptos" w:hAnsi="Aptos"/>
              </w:rPr>
              <w:t>Juthani</w:t>
            </w:r>
            <w:proofErr w:type="spellEnd"/>
          </w:p>
        </w:tc>
        <w:tc>
          <w:tcPr>
            <w:tcW w:w="2629" w:type="pct"/>
          </w:tcPr>
          <w:p w14:paraId="0B34CA39" w14:textId="77777777" w:rsidR="00FA3D00" w:rsidRPr="007C433B" w:rsidRDefault="00FA3D00" w:rsidP="00694633">
            <w:pPr>
              <w:rPr>
                <w:rFonts w:ascii="Aptos" w:hAnsi="Aptos"/>
              </w:rPr>
            </w:pPr>
            <w:r w:rsidRPr="007C433B">
              <w:rPr>
                <w:rFonts w:ascii="Aptos" w:hAnsi="Aptos"/>
              </w:rPr>
              <w:t>One representative of a SBHC sponsored by a local health department</w:t>
            </w:r>
          </w:p>
        </w:tc>
        <w:tc>
          <w:tcPr>
            <w:tcW w:w="965" w:type="pct"/>
          </w:tcPr>
          <w:p w14:paraId="033EA01D" w14:textId="77777777" w:rsidR="00FA3D00" w:rsidRPr="007C433B" w:rsidRDefault="00FA3D00" w:rsidP="00694633">
            <w:pPr>
              <w:rPr>
                <w:rFonts w:ascii="Aptos" w:hAnsi="Aptos"/>
              </w:rPr>
            </w:pPr>
            <w:r w:rsidRPr="007C433B">
              <w:rPr>
                <w:rFonts w:ascii="Aptos" w:hAnsi="Aptos"/>
              </w:rPr>
              <w:t>Vacant</w:t>
            </w:r>
          </w:p>
        </w:tc>
      </w:tr>
      <w:tr w:rsidR="00FA3D00" w:rsidRPr="002248BC" w14:paraId="20F57E0C" w14:textId="77777777" w:rsidTr="00C0002F">
        <w:trPr>
          <w:jc w:val="center"/>
        </w:trPr>
        <w:tc>
          <w:tcPr>
            <w:tcW w:w="1406" w:type="pct"/>
          </w:tcPr>
          <w:p w14:paraId="1E0D9AE4" w14:textId="77777777" w:rsidR="00FA3D00" w:rsidRPr="007C433B" w:rsidRDefault="00FA3D00" w:rsidP="00694633">
            <w:pPr>
              <w:rPr>
                <w:rFonts w:ascii="Aptos" w:hAnsi="Aptos"/>
              </w:rPr>
            </w:pPr>
            <w:r w:rsidRPr="007C433B">
              <w:rPr>
                <w:rFonts w:ascii="Aptos" w:hAnsi="Aptos"/>
              </w:rPr>
              <w:t xml:space="preserve">DPH Commissioner – Manisha </w:t>
            </w:r>
            <w:proofErr w:type="spellStart"/>
            <w:r w:rsidRPr="007C433B">
              <w:rPr>
                <w:rFonts w:ascii="Aptos" w:hAnsi="Aptos"/>
              </w:rPr>
              <w:t>Juthani</w:t>
            </w:r>
            <w:proofErr w:type="spellEnd"/>
          </w:p>
        </w:tc>
        <w:tc>
          <w:tcPr>
            <w:tcW w:w="2629" w:type="pct"/>
          </w:tcPr>
          <w:p w14:paraId="0AFBDB52" w14:textId="77777777" w:rsidR="00FA3D00" w:rsidRPr="007C433B" w:rsidRDefault="00FA3D00" w:rsidP="00694633">
            <w:pPr>
              <w:rPr>
                <w:rFonts w:ascii="Aptos" w:hAnsi="Aptos"/>
                <w:highlight w:val="yellow"/>
              </w:rPr>
            </w:pPr>
            <w:bookmarkStart w:id="3" w:name="_Hlk139889899"/>
            <w:r w:rsidRPr="007C433B">
              <w:rPr>
                <w:rFonts w:ascii="Aptos" w:hAnsi="Aptos"/>
              </w:rPr>
              <w:t>One representative of a SBHC from a municipality that has a population of at least 50,000 but less than 100,000 and operates a SBHC</w:t>
            </w:r>
            <w:bookmarkEnd w:id="3"/>
          </w:p>
        </w:tc>
        <w:tc>
          <w:tcPr>
            <w:tcW w:w="965" w:type="pct"/>
          </w:tcPr>
          <w:p w14:paraId="7B199EFE" w14:textId="77777777" w:rsidR="00FA3D00" w:rsidRPr="007C433B" w:rsidRDefault="00FA3D00" w:rsidP="00694633">
            <w:pPr>
              <w:rPr>
                <w:rFonts w:ascii="Aptos" w:hAnsi="Aptos"/>
                <w:color w:val="FF0000"/>
                <w:highlight w:val="yellow"/>
              </w:rPr>
            </w:pPr>
            <w:r w:rsidRPr="007C433B">
              <w:rPr>
                <w:rFonts w:ascii="Aptos" w:hAnsi="Aptos"/>
              </w:rPr>
              <w:t>Sherry Linton-Massiah</w:t>
            </w:r>
          </w:p>
        </w:tc>
      </w:tr>
      <w:tr w:rsidR="00FA3D00" w:rsidRPr="00096E6B" w14:paraId="651A1691" w14:textId="77777777" w:rsidTr="00C0002F">
        <w:trPr>
          <w:jc w:val="center"/>
        </w:trPr>
        <w:tc>
          <w:tcPr>
            <w:tcW w:w="1406" w:type="pct"/>
          </w:tcPr>
          <w:p w14:paraId="04F14AEF" w14:textId="77777777" w:rsidR="00FA3D00" w:rsidRPr="007C433B" w:rsidRDefault="00FA3D00" w:rsidP="00694633">
            <w:pPr>
              <w:rPr>
                <w:rFonts w:ascii="Aptos" w:hAnsi="Aptos"/>
              </w:rPr>
            </w:pPr>
            <w:r w:rsidRPr="007C433B">
              <w:rPr>
                <w:rFonts w:ascii="Aptos" w:hAnsi="Aptos"/>
              </w:rPr>
              <w:t xml:space="preserve">DPH Commissioner – Manisha </w:t>
            </w:r>
            <w:proofErr w:type="spellStart"/>
            <w:r w:rsidRPr="007C433B">
              <w:rPr>
                <w:rFonts w:ascii="Aptos" w:hAnsi="Aptos"/>
              </w:rPr>
              <w:t>Juthani</w:t>
            </w:r>
            <w:proofErr w:type="spellEnd"/>
          </w:p>
        </w:tc>
        <w:tc>
          <w:tcPr>
            <w:tcW w:w="2629" w:type="pct"/>
          </w:tcPr>
          <w:p w14:paraId="37D46B9F" w14:textId="77777777" w:rsidR="00FA3D00" w:rsidRPr="007C433B" w:rsidRDefault="00FA3D00" w:rsidP="00694633">
            <w:pPr>
              <w:rPr>
                <w:rFonts w:ascii="Aptos" w:hAnsi="Aptos"/>
              </w:rPr>
            </w:pPr>
            <w:r w:rsidRPr="007C433B">
              <w:rPr>
                <w:rFonts w:ascii="Aptos" w:hAnsi="Aptos"/>
              </w:rPr>
              <w:t>One representative of a SBHC from a municipality that has a population of at least 100,000 and operates a SBHC</w:t>
            </w:r>
          </w:p>
        </w:tc>
        <w:tc>
          <w:tcPr>
            <w:tcW w:w="965" w:type="pct"/>
          </w:tcPr>
          <w:p w14:paraId="6B318076" w14:textId="77777777" w:rsidR="00FA3D00" w:rsidRPr="007C433B" w:rsidRDefault="00FA3D00" w:rsidP="00694633">
            <w:pPr>
              <w:rPr>
                <w:rFonts w:ascii="Aptos" w:hAnsi="Aptos"/>
                <w:color w:val="FF0000"/>
              </w:rPr>
            </w:pPr>
            <w:r w:rsidRPr="007C433B">
              <w:rPr>
                <w:rFonts w:ascii="Aptos" w:hAnsi="Aptos"/>
              </w:rPr>
              <w:t xml:space="preserve">Debbie </w:t>
            </w:r>
            <w:proofErr w:type="spellStart"/>
            <w:r w:rsidRPr="007C433B">
              <w:rPr>
                <w:rFonts w:ascii="Aptos" w:hAnsi="Aptos"/>
              </w:rPr>
              <w:t>Chameides</w:t>
            </w:r>
            <w:proofErr w:type="spellEnd"/>
          </w:p>
        </w:tc>
      </w:tr>
      <w:tr w:rsidR="00FA3D00" w14:paraId="5771E0BB" w14:textId="77777777" w:rsidTr="00C0002F">
        <w:trPr>
          <w:jc w:val="center"/>
        </w:trPr>
        <w:tc>
          <w:tcPr>
            <w:tcW w:w="1406" w:type="pct"/>
          </w:tcPr>
          <w:p w14:paraId="34E0A180" w14:textId="77777777" w:rsidR="00FA3D00" w:rsidRPr="007C433B" w:rsidRDefault="00FA3D00" w:rsidP="00694633">
            <w:pPr>
              <w:rPr>
                <w:rFonts w:ascii="Aptos" w:hAnsi="Aptos"/>
              </w:rPr>
            </w:pPr>
            <w:r w:rsidRPr="007C433B">
              <w:rPr>
                <w:rFonts w:ascii="Aptos" w:hAnsi="Aptos"/>
              </w:rPr>
              <w:t xml:space="preserve">State agency representatives - </w:t>
            </w:r>
          </w:p>
        </w:tc>
        <w:tc>
          <w:tcPr>
            <w:tcW w:w="2629" w:type="pct"/>
          </w:tcPr>
          <w:p w14:paraId="28A089C3" w14:textId="77777777" w:rsidR="00FA3D00" w:rsidRPr="007C433B" w:rsidRDefault="00FA3D00" w:rsidP="00694633">
            <w:pPr>
              <w:rPr>
                <w:rFonts w:ascii="Aptos" w:hAnsi="Aptos"/>
              </w:rPr>
            </w:pPr>
            <w:r w:rsidRPr="007C433B">
              <w:rPr>
                <w:rFonts w:ascii="Aptos" w:hAnsi="Aptos"/>
              </w:rPr>
              <w:t>The Commission on Women, Children and Seniors executive director, or designee</w:t>
            </w:r>
          </w:p>
        </w:tc>
        <w:tc>
          <w:tcPr>
            <w:tcW w:w="965" w:type="pct"/>
          </w:tcPr>
          <w:p w14:paraId="31D1C4A6" w14:textId="77777777" w:rsidR="00FA3D00" w:rsidRPr="007C433B" w:rsidRDefault="00FA3D00" w:rsidP="00694633">
            <w:pPr>
              <w:rPr>
                <w:rFonts w:ascii="Aptos" w:hAnsi="Aptos"/>
              </w:rPr>
            </w:pPr>
            <w:r w:rsidRPr="007C433B">
              <w:rPr>
                <w:rFonts w:ascii="Aptos" w:hAnsi="Aptos"/>
              </w:rPr>
              <w:t>Thomas Nuccio</w:t>
            </w:r>
          </w:p>
        </w:tc>
      </w:tr>
      <w:tr w:rsidR="00FA3D00" w14:paraId="07D206DC" w14:textId="77777777" w:rsidTr="00C0002F">
        <w:trPr>
          <w:jc w:val="center"/>
        </w:trPr>
        <w:tc>
          <w:tcPr>
            <w:tcW w:w="1406" w:type="pct"/>
          </w:tcPr>
          <w:p w14:paraId="46C74A43" w14:textId="77777777" w:rsidR="00FA3D00" w:rsidRPr="007C433B" w:rsidRDefault="00FA3D00" w:rsidP="00694633">
            <w:pPr>
              <w:rPr>
                <w:rFonts w:ascii="Aptos" w:hAnsi="Aptos"/>
              </w:rPr>
            </w:pPr>
            <w:r w:rsidRPr="007C433B">
              <w:rPr>
                <w:rFonts w:ascii="Aptos" w:hAnsi="Aptos"/>
              </w:rPr>
              <w:t xml:space="preserve">State agency representatives – Manisha </w:t>
            </w:r>
            <w:proofErr w:type="spellStart"/>
            <w:r w:rsidRPr="007C433B">
              <w:rPr>
                <w:rFonts w:ascii="Aptos" w:hAnsi="Aptos"/>
              </w:rPr>
              <w:t>Juthani</w:t>
            </w:r>
            <w:proofErr w:type="spellEnd"/>
          </w:p>
        </w:tc>
        <w:tc>
          <w:tcPr>
            <w:tcW w:w="2629" w:type="pct"/>
          </w:tcPr>
          <w:p w14:paraId="6678CE7E" w14:textId="77777777" w:rsidR="00FA3D00" w:rsidRPr="007C433B" w:rsidRDefault="00FA3D00" w:rsidP="00694633">
            <w:pPr>
              <w:rPr>
                <w:rFonts w:ascii="Aptos" w:hAnsi="Aptos"/>
              </w:rPr>
            </w:pPr>
            <w:r w:rsidRPr="007C433B">
              <w:rPr>
                <w:rFonts w:ascii="Aptos" w:hAnsi="Aptos"/>
              </w:rPr>
              <w:t>DPH</w:t>
            </w:r>
          </w:p>
        </w:tc>
        <w:tc>
          <w:tcPr>
            <w:tcW w:w="965" w:type="pct"/>
          </w:tcPr>
          <w:p w14:paraId="4396B607" w14:textId="77777777" w:rsidR="00FA3D00" w:rsidRPr="007C433B" w:rsidRDefault="00FA3D00" w:rsidP="00694633">
            <w:pPr>
              <w:rPr>
                <w:rFonts w:ascii="Aptos" w:hAnsi="Aptos"/>
              </w:rPr>
            </w:pPr>
            <w:r w:rsidRPr="007C433B">
              <w:rPr>
                <w:rFonts w:ascii="Aptos" w:hAnsi="Aptos"/>
              </w:rPr>
              <w:t xml:space="preserve">Alice Martinez </w:t>
            </w:r>
          </w:p>
        </w:tc>
      </w:tr>
      <w:tr w:rsidR="00FA3D00" w14:paraId="4A8913F5" w14:textId="77777777" w:rsidTr="00C0002F">
        <w:trPr>
          <w:jc w:val="center"/>
        </w:trPr>
        <w:tc>
          <w:tcPr>
            <w:tcW w:w="1406" w:type="pct"/>
          </w:tcPr>
          <w:p w14:paraId="1F5DD102" w14:textId="77777777" w:rsidR="00FA3D00" w:rsidRPr="007C433B" w:rsidRDefault="00FA3D00" w:rsidP="00694633">
            <w:pPr>
              <w:rPr>
                <w:rFonts w:ascii="Aptos" w:hAnsi="Aptos"/>
              </w:rPr>
            </w:pPr>
            <w:r w:rsidRPr="007C433B">
              <w:rPr>
                <w:rFonts w:ascii="Aptos" w:hAnsi="Aptos"/>
              </w:rPr>
              <w:t>State agency representatives – Charlene Russell-Tucker</w:t>
            </w:r>
          </w:p>
        </w:tc>
        <w:tc>
          <w:tcPr>
            <w:tcW w:w="2629" w:type="pct"/>
          </w:tcPr>
          <w:p w14:paraId="6D27FE35" w14:textId="77777777" w:rsidR="00FA3D00" w:rsidRPr="007C433B" w:rsidRDefault="00FA3D00" w:rsidP="00694633">
            <w:pPr>
              <w:rPr>
                <w:rFonts w:ascii="Aptos" w:hAnsi="Aptos"/>
              </w:rPr>
            </w:pPr>
            <w:r w:rsidRPr="007C433B">
              <w:rPr>
                <w:rFonts w:ascii="Aptos" w:hAnsi="Aptos"/>
              </w:rPr>
              <w:t>SDE</w:t>
            </w:r>
          </w:p>
        </w:tc>
        <w:tc>
          <w:tcPr>
            <w:tcW w:w="965" w:type="pct"/>
          </w:tcPr>
          <w:p w14:paraId="32503835" w14:textId="77777777" w:rsidR="00FA3D00" w:rsidRPr="007C433B" w:rsidRDefault="00FA3D00" w:rsidP="00694633">
            <w:pPr>
              <w:rPr>
                <w:rFonts w:ascii="Aptos" w:hAnsi="Aptos"/>
              </w:rPr>
            </w:pPr>
            <w:r w:rsidRPr="007C433B">
              <w:rPr>
                <w:rFonts w:ascii="Aptos" w:hAnsi="Aptos"/>
              </w:rPr>
              <w:t>Amanda Pickett</w:t>
            </w:r>
          </w:p>
        </w:tc>
      </w:tr>
      <w:tr w:rsidR="00FA3D00" w14:paraId="1B7EACC2" w14:textId="77777777" w:rsidTr="00C0002F">
        <w:trPr>
          <w:jc w:val="center"/>
        </w:trPr>
        <w:tc>
          <w:tcPr>
            <w:tcW w:w="1406" w:type="pct"/>
          </w:tcPr>
          <w:p w14:paraId="07CF7B85" w14:textId="77777777" w:rsidR="00FA3D00" w:rsidRPr="007C433B" w:rsidRDefault="00FA3D00" w:rsidP="00694633">
            <w:pPr>
              <w:rPr>
                <w:rFonts w:ascii="Aptos" w:hAnsi="Aptos"/>
              </w:rPr>
            </w:pPr>
            <w:r w:rsidRPr="007C433B">
              <w:rPr>
                <w:rFonts w:ascii="Aptos" w:hAnsi="Aptos"/>
              </w:rPr>
              <w:t xml:space="preserve">State agency representatives – Nancy </w:t>
            </w:r>
            <w:proofErr w:type="spellStart"/>
            <w:r w:rsidRPr="007C433B">
              <w:rPr>
                <w:rFonts w:ascii="Aptos" w:hAnsi="Aptos"/>
              </w:rPr>
              <w:t>Navarretta</w:t>
            </w:r>
            <w:proofErr w:type="spellEnd"/>
          </w:p>
        </w:tc>
        <w:tc>
          <w:tcPr>
            <w:tcW w:w="2629" w:type="pct"/>
          </w:tcPr>
          <w:p w14:paraId="3DC244CE" w14:textId="77777777" w:rsidR="00FA3D00" w:rsidRPr="007C433B" w:rsidRDefault="00FA3D00" w:rsidP="00694633">
            <w:pPr>
              <w:rPr>
                <w:rFonts w:ascii="Aptos" w:hAnsi="Aptos"/>
              </w:rPr>
            </w:pPr>
            <w:r w:rsidRPr="007C433B">
              <w:rPr>
                <w:rFonts w:ascii="Aptos" w:hAnsi="Aptos"/>
              </w:rPr>
              <w:t>DMHAS</w:t>
            </w:r>
          </w:p>
        </w:tc>
        <w:tc>
          <w:tcPr>
            <w:tcW w:w="965" w:type="pct"/>
          </w:tcPr>
          <w:p w14:paraId="60D6621C" w14:textId="77777777" w:rsidR="00FA3D00" w:rsidRPr="007C433B" w:rsidRDefault="00FA3D00" w:rsidP="00694633">
            <w:pPr>
              <w:rPr>
                <w:rFonts w:ascii="Aptos" w:hAnsi="Aptos"/>
              </w:rPr>
            </w:pPr>
            <w:r w:rsidRPr="007C433B">
              <w:rPr>
                <w:rFonts w:ascii="Aptos" w:hAnsi="Aptos"/>
              </w:rPr>
              <w:t>Andrea Duarte</w:t>
            </w:r>
          </w:p>
        </w:tc>
      </w:tr>
      <w:tr w:rsidR="00FA3D00" w14:paraId="65F0C35B" w14:textId="77777777" w:rsidTr="00C0002F">
        <w:trPr>
          <w:jc w:val="center"/>
        </w:trPr>
        <w:tc>
          <w:tcPr>
            <w:tcW w:w="1406" w:type="pct"/>
          </w:tcPr>
          <w:p w14:paraId="65B6471F" w14:textId="77777777" w:rsidR="00FA3D00" w:rsidRPr="007C433B" w:rsidRDefault="00FA3D00" w:rsidP="00694633">
            <w:pPr>
              <w:rPr>
                <w:rFonts w:ascii="Aptos" w:hAnsi="Aptos"/>
              </w:rPr>
            </w:pPr>
            <w:r w:rsidRPr="007C433B">
              <w:rPr>
                <w:rFonts w:ascii="Aptos" w:hAnsi="Aptos"/>
              </w:rPr>
              <w:t>State agency representatives –</w:t>
            </w:r>
            <w:r w:rsidRPr="007C433B">
              <w:rPr>
                <w:rFonts w:ascii="Aptos" w:hAnsi="Aptos" w:cs="Open Sans"/>
                <w:color w:val="0A0A0A"/>
                <w:shd w:val="clear" w:color="auto" w:fill="FEFEFE"/>
              </w:rPr>
              <w:t xml:space="preserve"> </w:t>
            </w:r>
            <w:r w:rsidRPr="007C433B">
              <w:rPr>
                <w:rFonts w:ascii="Aptos" w:hAnsi="Aptos" w:cstheme="minorHAnsi"/>
                <w:color w:val="0A0A0A"/>
                <w:shd w:val="clear" w:color="auto" w:fill="FEFEFE"/>
              </w:rPr>
              <w:t>Andrea Barton Reeves</w:t>
            </w:r>
          </w:p>
        </w:tc>
        <w:tc>
          <w:tcPr>
            <w:tcW w:w="2629" w:type="pct"/>
          </w:tcPr>
          <w:p w14:paraId="1CD35664" w14:textId="77777777" w:rsidR="00FA3D00" w:rsidRPr="007C433B" w:rsidRDefault="00FA3D00" w:rsidP="00694633">
            <w:pPr>
              <w:rPr>
                <w:rFonts w:ascii="Aptos" w:hAnsi="Aptos"/>
              </w:rPr>
            </w:pPr>
            <w:r w:rsidRPr="007C433B">
              <w:rPr>
                <w:rFonts w:ascii="Aptos" w:hAnsi="Aptos"/>
              </w:rPr>
              <w:t>DSS</w:t>
            </w:r>
          </w:p>
        </w:tc>
        <w:tc>
          <w:tcPr>
            <w:tcW w:w="965" w:type="pct"/>
          </w:tcPr>
          <w:p w14:paraId="72A603E8" w14:textId="77777777" w:rsidR="00FA3D00" w:rsidRPr="007C433B" w:rsidRDefault="00FA3D00" w:rsidP="00694633">
            <w:pPr>
              <w:rPr>
                <w:rFonts w:ascii="Aptos" w:hAnsi="Aptos"/>
              </w:rPr>
            </w:pPr>
            <w:r w:rsidRPr="007C433B">
              <w:rPr>
                <w:rFonts w:ascii="Aptos" w:hAnsi="Aptos"/>
              </w:rPr>
              <w:t>Catherine Holt (Alternate Dana Robinson-Rush)</w:t>
            </w:r>
          </w:p>
        </w:tc>
      </w:tr>
      <w:tr w:rsidR="00FA3D00" w:rsidRPr="00193566" w14:paraId="3ECEE672" w14:textId="77777777" w:rsidTr="006706C1">
        <w:trPr>
          <w:jc w:val="center"/>
        </w:trPr>
        <w:tc>
          <w:tcPr>
            <w:tcW w:w="1406" w:type="pct"/>
          </w:tcPr>
          <w:p w14:paraId="60835F6F" w14:textId="623888BA" w:rsidR="00FA3D00" w:rsidRPr="007C433B" w:rsidRDefault="00FA3D00" w:rsidP="00694633">
            <w:pPr>
              <w:rPr>
                <w:rFonts w:ascii="Aptos" w:hAnsi="Aptos"/>
              </w:rPr>
            </w:pPr>
            <w:r w:rsidRPr="007C433B">
              <w:rPr>
                <w:rFonts w:ascii="Aptos" w:hAnsi="Aptos"/>
              </w:rPr>
              <w:lastRenderedPageBreak/>
              <w:t xml:space="preserve">State agency </w:t>
            </w:r>
            <w:r w:rsidRPr="00C12FCE">
              <w:rPr>
                <w:rFonts w:ascii="Aptos" w:hAnsi="Aptos"/>
              </w:rPr>
              <w:t xml:space="preserve">representatives - </w:t>
            </w:r>
            <w:r w:rsidR="00C12FCE" w:rsidRPr="00C12FCE">
              <w:rPr>
                <w:rFonts w:ascii="Aptos" w:hAnsi="Aptos"/>
              </w:rPr>
              <w:t>Susan Hamilton</w:t>
            </w:r>
          </w:p>
        </w:tc>
        <w:tc>
          <w:tcPr>
            <w:tcW w:w="2629" w:type="pct"/>
          </w:tcPr>
          <w:p w14:paraId="2AF11C50" w14:textId="77777777" w:rsidR="00FA3D00" w:rsidRPr="007C433B" w:rsidRDefault="00FA3D00" w:rsidP="00694633">
            <w:pPr>
              <w:rPr>
                <w:rFonts w:ascii="Aptos" w:hAnsi="Aptos"/>
              </w:rPr>
            </w:pPr>
            <w:r w:rsidRPr="007C433B">
              <w:rPr>
                <w:rFonts w:ascii="Aptos" w:hAnsi="Aptos"/>
              </w:rPr>
              <w:t>DCF</w:t>
            </w:r>
          </w:p>
        </w:tc>
        <w:tc>
          <w:tcPr>
            <w:tcW w:w="965" w:type="pct"/>
            <w:shd w:val="clear" w:color="auto" w:fill="FFFFFF" w:themeFill="background2"/>
          </w:tcPr>
          <w:p w14:paraId="7ED7ED9E" w14:textId="77777777" w:rsidR="00FA3D00" w:rsidRPr="007C433B" w:rsidRDefault="00FA3D00" w:rsidP="00694633">
            <w:pPr>
              <w:rPr>
                <w:rFonts w:ascii="Aptos" w:hAnsi="Aptos"/>
              </w:rPr>
            </w:pPr>
            <w:r w:rsidRPr="007C433B">
              <w:rPr>
                <w:rFonts w:ascii="Aptos" w:hAnsi="Aptos"/>
              </w:rPr>
              <w:t>Dr Francis Gregory</w:t>
            </w:r>
          </w:p>
          <w:p w14:paraId="3CC3CE52" w14:textId="77777777" w:rsidR="00FA3D00" w:rsidRPr="007C433B" w:rsidRDefault="00FA3D00" w:rsidP="00694633">
            <w:pPr>
              <w:rPr>
                <w:rFonts w:ascii="Aptos" w:hAnsi="Aptos"/>
                <w:highlight w:val="yellow"/>
              </w:rPr>
            </w:pPr>
            <w:r w:rsidRPr="007C433B">
              <w:rPr>
                <w:rFonts w:ascii="Aptos" w:hAnsi="Aptos"/>
              </w:rPr>
              <w:t xml:space="preserve">Stephanie Bozak </w:t>
            </w:r>
          </w:p>
        </w:tc>
      </w:tr>
      <w:tr w:rsidR="00FA3D00" w14:paraId="298683AE" w14:textId="77777777" w:rsidTr="00C0002F">
        <w:trPr>
          <w:jc w:val="center"/>
        </w:trPr>
        <w:tc>
          <w:tcPr>
            <w:tcW w:w="1406" w:type="pct"/>
          </w:tcPr>
          <w:p w14:paraId="226B8845" w14:textId="77777777" w:rsidR="00FA3D00" w:rsidRPr="007C433B" w:rsidRDefault="00FA3D00" w:rsidP="00694633">
            <w:pPr>
              <w:rPr>
                <w:rFonts w:ascii="Aptos" w:hAnsi="Aptos"/>
              </w:rPr>
            </w:pPr>
            <w:r w:rsidRPr="007C433B">
              <w:rPr>
                <w:rFonts w:ascii="Aptos" w:hAnsi="Aptos"/>
              </w:rPr>
              <w:t>CASBHC Executive Director / BOD member</w:t>
            </w:r>
          </w:p>
        </w:tc>
        <w:tc>
          <w:tcPr>
            <w:tcW w:w="2629" w:type="pct"/>
          </w:tcPr>
          <w:p w14:paraId="12578547" w14:textId="77777777" w:rsidR="00FA3D00" w:rsidRPr="007C433B" w:rsidRDefault="00FA3D00" w:rsidP="00694633">
            <w:pPr>
              <w:rPr>
                <w:rFonts w:ascii="Aptos" w:hAnsi="Aptos"/>
              </w:rPr>
            </w:pPr>
            <w:r w:rsidRPr="007C433B">
              <w:rPr>
                <w:rFonts w:ascii="Aptos" w:hAnsi="Aptos"/>
              </w:rPr>
              <w:t>Executive Director</w:t>
            </w:r>
          </w:p>
        </w:tc>
        <w:tc>
          <w:tcPr>
            <w:tcW w:w="965" w:type="pct"/>
          </w:tcPr>
          <w:p w14:paraId="42A0AFD6" w14:textId="77777777" w:rsidR="00FA3D00" w:rsidRPr="007C433B" w:rsidRDefault="00FA3D00" w:rsidP="00694633">
            <w:pPr>
              <w:rPr>
                <w:rFonts w:ascii="Aptos" w:hAnsi="Aptos"/>
              </w:rPr>
            </w:pPr>
            <w:r w:rsidRPr="007C433B">
              <w:rPr>
                <w:rFonts w:ascii="Aptos" w:hAnsi="Aptos"/>
              </w:rPr>
              <w:t>Melanie Wilde-Lane</w:t>
            </w:r>
          </w:p>
        </w:tc>
      </w:tr>
      <w:tr w:rsidR="00FA3D00" w:rsidRPr="00F13AA9" w14:paraId="7BE8CE6E" w14:textId="77777777" w:rsidTr="00C0002F">
        <w:trPr>
          <w:jc w:val="center"/>
        </w:trPr>
        <w:tc>
          <w:tcPr>
            <w:tcW w:w="1406" w:type="pct"/>
          </w:tcPr>
          <w:p w14:paraId="28766302" w14:textId="77777777" w:rsidR="00FA3D00" w:rsidRPr="007C433B" w:rsidRDefault="00FA3D00" w:rsidP="00694633">
            <w:pPr>
              <w:rPr>
                <w:rFonts w:ascii="Aptos" w:hAnsi="Aptos"/>
              </w:rPr>
            </w:pPr>
            <w:r w:rsidRPr="007C433B">
              <w:rPr>
                <w:rFonts w:ascii="Aptos" w:hAnsi="Aptos"/>
              </w:rPr>
              <w:t>CASBHC Executive Director / BOD member</w:t>
            </w:r>
          </w:p>
        </w:tc>
        <w:tc>
          <w:tcPr>
            <w:tcW w:w="2629" w:type="pct"/>
          </w:tcPr>
          <w:p w14:paraId="60C1116D" w14:textId="77777777" w:rsidR="00FA3D00" w:rsidRPr="007C433B" w:rsidRDefault="00FA3D00" w:rsidP="00694633">
            <w:pPr>
              <w:rPr>
                <w:rFonts w:ascii="Aptos" w:hAnsi="Aptos"/>
              </w:rPr>
            </w:pPr>
            <w:r w:rsidRPr="007C433B">
              <w:rPr>
                <w:rFonts w:ascii="Aptos" w:hAnsi="Aptos"/>
              </w:rPr>
              <w:t>CASBHC Board of Director Member</w:t>
            </w:r>
          </w:p>
        </w:tc>
        <w:tc>
          <w:tcPr>
            <w:tcW w:w="965" w:type="pct"/>
          </w:tcPr>
          <w:p w14:paraId="69C66A4C" w14:textId="77777777" w:rsidR="00FA3D00" w:rsidRPr="007C433B" w:rsidRDefault="00FA3D00" w:rsidP="00694633">
            <w:pPr>
              <w:rPr>
                <w:rFonts w:ascii="Aptos" w:hAnsi="Aptos"/>
                <w:highlight w:val="yellow"/>
              </w:rPr>
            </w:pPr>
            <w:r w:rsidRPr="007C433B">
              <w:rPr>
                <w:rFonts w:ascii="Aptos" w:hAnsi="Aptos"/>
              </w:rPr>
              <w:t>Melanie Bonjour</w:t>
            </w:r>
          </w:p>
        </w:tc>
      </w:tr>
      <w:tr w:rsidR="00FA3D00" w14:paraId="6874F62A" w14:textId="77777777" w:rsidTr="00C0002F">
        <w:trPr>
          <w:jc w:val="center"/>
        </w:trPr>
        <w:tc>
          <w:tcPr>
            <w:tcW w:w="1406" w:type="pct"/>
          </w:tcPr>
          <w:p w14:paraId="2D445696" w14:textId="77777777" w:rsidR="00FA3D00" w:rsidRPr="007C433B" w:rsidRDefault="00FA3D00" w:rsidP="00694633">
            <w:pPr>
              <w:rPr>
                <w:rFonts w:ascii="Aptos" w:hAnsi="Aptos"/>
              </w:rPr>
            </w:pPr>
            <w:r w:rsidRPr="007C433B">
              <w:rPr>
                <w:rFonts w:ascii="Aptos" w:hAnsi="Aptos"/>
              </w:rPr>
              <w:t>CASBHC Executive Director / BOD member</w:t>
            </w:r>
          </w:p>
        </w:tc>
        <w:tc>
          <w:tcPr>
            <w:tcW w:w="2629" w:type="pct"/>
          </w:tcPr>
          <w:p w14:paraId="31BA7F73" w14:textId="77777777" w:rsidR="00FA3D00" w:rsidRPr="007C433B" w:rsidRDefault="00FA3D00" w:rsidP="00694633">
            <w:pPr>
              <w:rPr>
                <w:rFonts w:ascii="Aptos" w:hAnsi="Aptos"/>
              </w:rPr>
            </w:pPr>
            <w:r w:rsidRPr="007C433B">
              <w:rPr>
                <w:rFonts w:ascii="Aptos" w:hAnsi="Aptos"/>
              </w:rPr>
              <w:t>CASBHC Board of Director Member</w:t>
            </w:r>
          </w:p>
        </w:tc>
        <w:tc>
          <w:tcPr>
            <w:tcW w:w="965" w:type="pct"/>
          </w:tcPr>
          <w:p w14:paraId="5AB83924" w14:textId="77777777" w:rsidR="00FA3D00" w:rsidRPr="007C433B" w:rsidRDefault="00FA3D00" w:rsidP="00694633">
            <w:pPr>
              <w:rPr>
                <w:rFonts w:ascii="Aptos" w:hAnsi="Aptos"/>
              </w:rPr>
            </w:pPr>
            <w:r w:rsidRPr="007C433B">
              <w:rPr>
                <w:rFonts w:ascii="Aptos" w:hAnsi="Aptos"/>
              </w:rPr>
              <w:t>Heather Dawson</w:t>
            </w:r>
          </w:p>
        </w:tc>
      </w:tr>
    </w:tbl>
    <w:p w14:paraId="49FBD8CA" w14:textId="77777777" w:rsidR="00FA3D00" w:rsidRPr="002A5211" w:rsidRDefault="00FA3D00" w:rsidP="00FB72AA">
      <w:pPr>
        <w:rPr>
          <w:rFonts w:ascii="Aptos" w:hAnsi="Aptos"/>
        </w:rPr>
      </w:pPr>
    </w:p>
    <w:p w14:paraId="2D20BEA8" w14:textId="52867E19" w:rsidR="0B728C3B" w:rsidRPr="007C433B" w:rsidRDefault="0B728C3B" w:rsidP="2E52C192">
      <w:pPr>
        <w:pStyle w:val="Heading2"/>
        <w:rPr>
          <w:rFonts w:ascii="Aptos" w:hAnsi="Aptos"/>
          <w:color w:val="0771BB" w:themeColor="accent1"/>
        </w:rPr>
      </w:pPr>
      <w:bookmarkStart w:id="4" w:name="_Toc241838542"/>
      <w:r w:rsidRPr="007C433B">
        <w:rPr>
          <w:rFonts w:ascii="Aptos" w:hAnsi="Aptos"/>
          <w:color w:val="0771BB" w:themeColor="accent1"/>
        </w:rPr>
        <w:t>Key Terms</w:t>
      </w:r>
      <w:bookmarkEnd w:id="4"/>
    </w:p>
    <w:p w14:paraId="4DCEED8F" w14:textId="77777777" w:rsidR="00FA3D00" w:rsidRPr="007C433B" w:rsidRDefault="00FA3D00" w:rsidP="00FA3D00">
      <w:pPr>
        <w:rPr>
          <w:rFonts w:ascii="Aptos" w:hAnsi="Aptos"/>
        </w:rPr>
      </w:pPr>
      <w:r w:rsidRPr="007C433B">
        <w:rPr>
          <w:rFonts w:ascii="Aptos" w:hAnsi="Aptos"/>
        </w:rPr>
        <w:t>School Based Health Centers (SBHCs) are a partnership between the school and community. SBHCs support schools by keeping students healthy and in the classroom so that they can maximize their opportunities for learning.  They deliver high quality, comprehensive, coordinated health care, including medical, behavioral health, and oral health care services to over 325 schools throughout the state.</w:t>
      </w:r>
    </w:p>
    <w:p w14:paraId="46E68B04" w14:textId="156FE57B" w:rsidR="00A40F48" w:rsidRPr="007C433B" w:rsidRDefault="00FA3D00" w:rsidP="2E52C192">
      <w:pPr>
        <w:rPr>
          <w:rFonts w:ascii="Aptos" w:hAnsi="Aptos"/>
        </w:rPr>
      </w:pPr>
      <w:r w:rsidRPr="007C433B">
        <w:rPr>
          <w:rFonts w:ascii="Aptos" w:hAnsi="Aptos"/>
        </w:rPr>
        <w:t>A SBHC is a fully licensed primary care facility, staffed by teams of professionals specializing in child and adolescent health; including licensed nurse practitioners, physician assistants, clinical social workers, medical assistants, and licensed oral health professionals who operate under the guidance of medical, behavioral health and dental directors. Like health care provided in a private physician's office or hospital clinic, all services provided by SBHC follow HIPPA (Federal Standards for Privacy of Individually Identifiable Health Information) and all state laws regarding health confidentiality. Health information is shared with the Primary Care Provider. Enrollment is opt-in only. Guardians must complete an enrollment form prior to the student receiving services. Certain health services are protected and accessible under state guidelines. It is the mission of SBHCs to work in partnership with parents while respecting the age, cultural values, and family situation of every student.</w:t>
      </w:r>
    </w:p>
    <w:p w14:paraId="75D14F22" w14:textId="24C92CD7" w:rsidR="0017165C" w:rsidRPr="007C433B" w:rsidRDefault="00ED319D" w:rsidP="00FB72AA">
      <w:pPr>
        <w:pStyle w:val="Heading2"/>
        <w:rPr>
          <w:rFonts w:ascii="Aptos" w:hAnsi="Aptos"/>
          <w:color w:val="0771BB" w:themeColor="accent1"/>
        </w:rPr>
      </w:pPr>
      <w:bookmarkStart w:id="5" w:name="_Toc241838543"/>
      <w:r w:rsidRPr="007C433B">
        <w:rPr>
          <w:rFonts w:ascii="Aptos" w:hAnsi="Aptos"/>
          <w:color w:val="0771BB" w:themeColor="accent1"/>
        </w:rPr>
        <w:t>Introduction</w:t>
      </w:r>
      <w:bookmarkEnd w:id="5"/>
    </w:p>
    <w:p w14:paraId="2A1D8503" w14:textId="7DEB21E4" w:rsidR="00A40F48" w:rsidRPr="007C433B" w:rsidRDefault="00A40F48" w:rsidP="00A40F48">
      <w:pPr>
        <w:rPr>
          <w:rFonts w:ascii="Aptos" w:hAnsi="Aptos"/>
        </w:rPr>
      </w:pPr>
      <w:r w:rsidRPr="007C433B">
        <w:rPr>
          <w:rFonts w:ascii="Aptos" w:hAnsi="Aptos"/>
        </w:rPr>
        <w:t>The intent of this report is to provide the Commissioner and Chairs of the Public Health Committee with an overview of the activities of Connecticut’s SBHCs, including successes and challenges in meeting the health needs of Connecticut’s children and youth. This information is intended to inform decision-making as policymakers consider priorities for the upcoming legislative session and reflect on the outcomes, budget, and regulatory considerations of the 2024 legislative session.</w:t>
      </w:r>
    </w:p>
    <w:p w14:paraId="1F6BA31A" w14:textId="415AA86F" w:rsidR="00E74507" w:rsidRPr="007C433B" w:rsidRDefault="00A40F48" w:rsidP="00FB72AA">
      <w:pPr>
        <w:rPr>
          <w:rFonts w:ascii="Aptos" w:hAnsi="Aptos"/>
        </w:rPr>
      </w:pPr>
      <w:r w:rsidRPr="007C433B">
        <w:rPr>
          <w:rFonts w:ascii="Aptos" w:hAnsi="Aptos"/>
        </w:rPr>
        <w:t xml:space="preserve">Since 1982, Connecticut’s SBHCs have provided comprehensive, coordinated, high-quality </w:t>
      </w:r>
      <w:r w:rsidR="007C433B" w:rsidRPr="007C433B">
        <w:rPr>
          <w:rFonts w:ascii="Aptos" w:hAnsi="Aptos"/>
        </w:rPr>
        <w:t xml:space="preserve">healthcare, </w:t>
      </w:r>
      <w:r w:rsidRPr="007C433B">
        <w:rPr>
          <w:rFonts w:ascii="Aptos" w:hAnsi="Aptos"/>
        </w:rPr>
        <w:t>including medical, behavioral health, and oral health services—to students in schools. Today, SBHCs serve more than 325 schools across Connecticut and are an essential component of the state’s healthcare safety net.</w:t>
      </w:r>
    </w:p>
    <w:p w14:paraId="44A825E0" w14:textId="77777777" w:rsidR="005F228B" w:rsidRDefault="005F228B" w:rsidP="00FB72AA">
      <w:pPr>
        <w:pStyle w:val="Heading2"/>
        <w:rPr>
          <w:rFonts w:ascii="Aptos" w:hAnsi="Aptos"/>
        </w:rPr>
      </w:pPr>
      <w:bookmarkStart w:id="6" w:name="_Toc241838544"/>
    </w:p>
    <w:p w14:paraId="05C534AC" w14:textId="77777777" w:rsidR="005F228B" w:rsidRDefault="005F228B" w:rsidP="00FB72AA">
      <w:pPr>
        <w:pStyle w:val="Heading2"/>
        <w:rPr>
          <w:rFonts w:ascii="Aptos" w:hAnsi="Aptos"/>
        </w:rPr>
      </w:pPr>
    </w:p>
    <w:p w14:paraId="29C63E32" w14:textId="01C1E044" w:rsidR="00E74507" w:rsidRPr="007C433B" w:rsidRDefault="00E74507" w:rsidP="00FB72AA">
      <w:pPr>
        <w:pStyle w:val="Heading2"/>
        <w:rPr>
          <w:rFonts w:ascii="Aptos" w:hAnsi="Aptos"/>
          <w:color w:val="0771BB" w:themeColor="accent1"/>
        </w:rPr>
      </w:pPr>
      <w:r w:rsidRPr="007C433B">
        <w:rPr>
          <w:rFonts w:ascii="Aptos" w:hAnsi="Aptos"/>
          <w:color w:val="0771BB" w:themeColor="accent1"/>
        </w:rPr>
        <w:lastRenderedPageBreak/>
        <w:t>Discussion</w:t>
      </w:r>
      <w:bookmarkEnd w:id="6"/>
    </w:p>
    <w:p w14:paraId="73D26F47" w14:textId="77CFB160" w:rsidR="00301855" w:rsidRPr="007C433B" w:rsidRDefault="00A40F48" w:rsidP="00FB72AA">
      <w:pPr>
        <w:pStyle w:val="Heading3"/>
        <w:rPr>
          <w:rFonts w:ascii="Aptos" w:hAnsi="Aptos"/>
          <w:b/>
          <w:bCs/>
          <w:color w:val="auto"/>
        </w:rPr>
      </w:pPr>
      <w:bookmarkStart w:id="7" w:name="_Toc241838545"/>
      <w:r w:rsidRPr="007C433B">
        <w:rPr>
          <w:rFonts w:ascii="Aptos" w:hAnsi="Aptos"/>
          <w:b/>
          <w:bCs/>
          <w:color w:val="auto"/>
        </w:rPr>
        <w:t>Legislative Mandate</w:t>
      </w:r>
      <w:bookmarkEnd w:id="7"/>
    </w:p>
    <w:p w14:paraId="452AB199" w14:textId="44BDBDCB" w:rsidR="00A40F48" w:rsidRPr="007C433B" w:rsidRDefault="00A40F48" w:rsidP="00A40F48">
      <w:pPr>
        <w:rPr>
          <w:rFonts w:ascii="Aptos" w:hAnsi="Aptos"/>
        </w:rPr>
      </w:pPr>
      <w:r w:rsidRPr="007C433B">
        <w:rPr>
          <w:rFonts w:ascii="Aptos" w:hAnsi="Aptos"/>
        </w:rPr>
        <w:t>Connecticut General Statutes (CGS) Section 19a-6i established a SBHC Advisory Committee for the purpose of advising the Commissioner of Public Health (DPH) on matters relating to:</w:t>
      </w:r>
    </w:p>
    <w:p w14:paraId="1299A826" w14:textId="77777777" w:rsidR="00A40F48" w:rsidRPr="007C433B" w:rsidRDefault="00A40F48" w:rsidP="00A40F48">
      <w:pPr>
        <w:pStyle w:val="ListParagraph"/>
        <w:numPr>
          <w:ilvl w:val="0"/>
          <w:numId w:val="5"/>
        </w:numPr>
        <w:rPr>
          <w:rFonts w:ascii="Aptos" w:hAnsi="Aptos"/>
        </w:rPr>
      </w:pPr>
      <w:r w:rsidRPr="007C433B">
        <w:rPr>
          <w:rFonts w:ascii="Aptos" w:hAnsi="Aptos"/>
        </w:rPr>
        <w:t>Statutory and regulatory changes to improve health care through access to SBHC and Expanded School Health Sites (ESHS).</w:t>
      </w:r>
    </w:p>
    <w:p w14:paraId="28D36537" w14:textId="77777777" w:rsidR="00A40F48" w:rsidRPr="007C433B" w:rsidRDefault="00A40F48" w:rsidP="00A40F48">
      <w:pPr>
        <w:pStyle w:val="ListParagraph"/>
        <w:numPr>
          <w:ilvl w:val="0"/>
          <w:numId w:val="5"/>
        </w:numPr>
        <w:rPr>
          <w:rFonts w:ascii="Aptos" w:hAnsi="Aptos"/>
        </w:rPr>
      </w:pPr>
      <w:r w:rsidRPr="007C433B">
        <w:rPr>
          <w:rFonts w:ascii="Aptos" w:hAnsi="Aptos"/>
        </w:rPr>
        <w:t>Minimum standards for providing services in SBHC and ESHS to ensure the provision of high-quality health care services are provided in SBHC and ESHS, as such terms are defined in CGS Section 19a-6r; and</w:t>
      </w:r>
    </w:p>
    <w:p w14:paraId="52015F10" w14:textId="4C24D6AA" w:rsidR="00A40F48" w:rsidRPr="007C433B" w:rsidRDefault="00A40F48" w:rsidP="00A40F48">
      <w:pPr>
        <w:pStyle w:val="ListParagraph"/>
        <w:numPr>
          <w:ilvl w:val="0"/>
          <w:numId w:val="5"/>
        </w:numPr>
        <w:rPr>
          <w:rFonts w:ascii="Aptos" w:hAnsi="Aptos"/>
        </w:rPr>
      </w:pPr>
      <w:r w:rsidRPr="007C433B">
        <w:rPr>
          <w:rFonts w:ascii="Aptos" w:hAnsi="Aptos"/>
        </w:rPr>
        <w:t>Other topics of relevance to the SBHC and ESHS, as requested by the Commissioner.</w:t>
      </w:r>
    </w:p>
    <w:p w14:paraId="19A8D011" w14:textId="174ED2B1" w:rsidR="00A40F48" w:rsidRPr="007C433B" w:rsidRDefault="00A40F48" w:rsidP="00A40F48">
      <w:pPr>
        <w:rPr>
          <w:rFonts w:ascii="Aptos" w:hAnsi="Aptos"/>
        </w:rPr>
      </w:pPr>
      <w:r w:rsidRPr="007C433B">
        <w:rPr>
          <w:rFonts w:ascii="Aptos" w:hAnsi="Aptos"/>
        </w:rPr>
        <w:t>SBHC Advisory Committee meeting dates included</w:t>
      </w:r>
      <w:r w:rsidR="00F9401A" w:rsidRPr="007C433B">
        <w:rPr>
          <w:rFonts w:ascii="Aptos" w:hAnsi="Aptos"/>
        </w:rPr>
        <w:t xml:space="preserve"> October</w:t>
      </w:r>
      <w:r w:rsidR="00C672A5" w:rsidRPr="007C433B">
        <w:rPr>
          <w:rFonts w:ascii="Aptos" w:hAnsi="Aptos"/>
        </w:rPr>
        <w:t xml:space="preserve"> </w:t>
      </w:r>
      <w:r w:rsidRPr="007C433B">
        <w:rPr>
          <w:rFonts w:ascii="Aptos" w:hAnsi="Aptos"/>
        </w:rPr>
        <w:t xml:space="preserve">21, 2025, </w:t>
      </w:r>
      <w:r w:rsidR="001C00C7" w:rsidRPr="007C433B">
        <w:rPr>
          <w:rFonts w:ascii="Aptos" w:hAnsi="Aptos"/>
        </w:rPr>
        <w:t xml:space="preserve">April 21, 2026, </w:t>
      </w:r>
      <w:r w:rsidRPr="007C433B">
        <w:rPr>
          <w:rFonts w:ascii="Aptos" w:hAnsi="Aptos"/>
        </w:rPr>
        <w:t>July 1</w:t>
      </w:r>
      <w:r w:rsidR="001C00C7" w:rsidRPr="007C433B">
        <w:rPr>
          <w:rFonts w:ascii="Aptos" w:hAnsi="Aptos"/>
        </w:rPr>
        <w:t>4</w:t>
      </w:r>
      <w:r w:rsidRPr="007C433B">
        <w:rPr>
          <w:rFonts w:ascii="Aptos" w:hAnsi="Aptos"/>
        </w:rPr>
        <w:t>, 202</w:t>
      </w:r>
      <w:r w:rsidR="001C00C7" w:rsidRPr="007C433B">
        <w:rPr>
          <w:rFonts w:ascii="Aptos" w:hAnsi="Aptos"/>
        </w:rPr>
        <w:t>6</w:t>
      </w:r>
      <w:r w:rsidR="0081325C">
        <w:rPr>
          <w:rFonts w:ascii="Aptos" w:hAnsi="Aptos"/>
        </w:rPr>
        <w:t>, October 20, 2026</w:t>
      </w:r>
      <w:r w:rsidR="000F2193" w:rsidRPr="007C433B">
        <w:rPr>
          <w:rFonts w:ascii="Aptos" w:hAnsi="Aptos"/>
        </w:rPr>
        <w:t>.</w:t>
      </w:r>
    </w:p>
    <w:p w14:paraId="197E9050" w14:textId="53F4A2C1" w:rsidR="00C672A5" w:rsidRPr="007C433B" w:rsidRDefault="00F94EE7" w:rsidP="00A40F48">
      <w:pPr>
        <w:rPr>
          <w:rFonts w:ascii="Aptos" w:hAnsi="Aptos"/>
        </w:rPr>
      </w:pPr>
      <w:r w:rsidRPr="007C433B">
        <w:rPr>
          <w:rFonts w:ascii="Aptos" w:hAnsi="Aptos"/>
        </w:rPr>
        <w:t xml:space="preserve">Subcommittee Meetings: </w:t>
      </w:r>
      <w:r w:rsidR="00AE2B74" w:rsidRPr="007C433B">
        <w:rPr>
          <w:rFonts w:ascii="Aptos" w:hAnsi="Aptos"/>
        </w:rPr>
        <w:t xml:space="preserve">November 17, 2025, </w:t>
      </w:r>
      <w:r w:rsidR="0044678A" w:rsidRPr="007C433B">
        <w:rPr>
          <w:rFonts w:ascii="Aptos" w:hAnsi="Aptos"/>
        </w:rPr>
        <w:t>November 24, 2025</w:t>
      </w:r>
    </w:p>
    <w:p w14:paraId="059E29F9" w14:textId="62B745C0" w:rsidR="00697D6F" w:rsidRPr="007C433B" w:rsidRDefault="00697D6F" w:rsidP="00697D6F">
      <w:pPr>
        <w:pStyle w:val="Heading3"/>
        <w:rPr>
          <w:rFonts w:ascii="Aptos" w:hAnsi="Aptos"/>
          <w:b/>
          <w:bCs/>
          <w:color w:val="auto"/>
        </w:rPr>
      </w:pPr>
      <w:bookmarkStart w:id="8" w:name="_Toc241838546"/>
      <w:r w:rsidRPr="007C433B">
        <w:rPr>
          <w:rFonts w:ascii="Aptos" w:hAnsi="Aptos"/>
          <w:b/>
          <w:bCs/>
          <w:color w:val="auto"/>
        </w:rPr>
        <w:t xml:space="preserve">Benefits of </w:t>
      </w:r>
      <w:r w:rsidR="00337148" w:rsidRPr="007C433B">
        <w:rPr>
          <w:rFonts w:ascii="Aptos" w:hAnsi="Aptos"/>
          <w:b/>
          <w:bCs/>
          <w:color w:val="auto"/>
        </w:rPr>
        <w:t>SBHC’s</w:t>
      </w:r>
      <w:bookmarkEnd w:id="8"/>
    </w:p>
    <w:p w14:paraId="3C37EAB2" w14:textId="696E384A" w:rsidR="00EB17D5" w:rsidRPr="007C433B" w:rsidRDefault="00EB17D5" w:rsidP="00EB17D5">
      <w:pPr>
        <w:rPr>
          <w:rFonts w:ascii="Aptos" w:hAnsi="Aptos"/>
        </w:rPr>
      </w:pPr>
      <w:r w:rsidRPr="007C433B">
        <w:rPr>
          <w:rFonts w:ascii="Aptos" w:hAnsi="Aptos"/>
        </w:rPr>
        <w:t>SBHCs</w:t>
      </w:r>
      <w:r w:rsidR="0091758D" w:rsidRPr="007C433B">
        <w:rPr>
          <w:rFonts w:ascii="Aptos" w:hAnsi="Aptos"/>
        </w:rPr>
        <w:t xml:space="preserve"> </w:t>
      </w:r>
      <w:r w:rsidRPr="007C433B">
        <w:rPr>
          <w:rFonts w:ascii="Aptos" w:hAnsi="Aptos"/>
        </w:rPr>
        <w:t>are more than healthcare clinics located in schools. They are an important part of Connecticut’s healthcare and educational infrastructure, bringing healthcare directly to students in the setting where they spend much of their day.</w:t>
      </w:r>
    </w:p>
    <w:p w14:paraId="48338176" w14:textId="77777777" w:rsidR="00EB17D5" w:rsidRPr="007C433B" w:rsidRDefault="00EB17D5" w:rsidP="00EB17D5">
      <w:pPr>
        <w:rPr>
          <w:rFonts w:ascii="Aptos" w:hAnsi="Aptos"/>
          <w:b/>
          <w:bCs/>
        </w:rPr>
      </w:pPr>
      <w:r w:rsidRPr="007C433B">
        <w:rPr>
          <w:rFonts w:ascii="Aptos" w:hAnsi="Aptos"/>
          <w:b/>
          <w:bCs/>
        </w:rPr>
        <w:t>Access to Care Where Students Are</w:t>
      </w:r>
    </w:p>
    <w:p w14:paraId="7AFA5AB0" w14:textId="77777777" w:rsidR="00EB17D5" w:rsidRPr="007C433B" w:rsidRDefault="00EB17D5" w:rsidP="00EB17D5">
      <w:pPr>
        <w:rPr>
          <w:rFonts w:ascii="Aptos" w:hAnsi="Aptos"/>
        </w:rPr>
      </w:pPr>
      <w:r w:rsidRPr="007C433B">
        <w:rPr>
          <w:rFonts w:ascii="Aptos" w:hAnsi="Aptos"/>
        </w:rPr>
        <w:t>The location of SBHCs is intentional. By bringing healthcare directly into schools, SBHCs reduce barriers that can make it difficult for children and families to access timely care, including transportation challenges, inflexible work schedules, provider shortages, difficulty finding appointments, and other barriers to community-based care.</w:t>
      </w:r>
    </w:p>
    <w:p w14:paraId="7176156F" w14:textId="77777777" w:rsidR="00EB17D5" w:rsidRPr="007C433B" w:rsidRDefault="00EB17D5" w:rsidP="00EB17D5">
      <w:pPr>
        <w:rPr>
          <w:rFonts w:ascii="Aptos" w:hAnsi="Aptos"/>
        </w:rPr>
      </w:pPr>
      <w:r w:rsidRPr="007C433B">
        <w:rPr>
          <w:rFonts w:ascii="Aptos" w:hAnsi="Aptos"/>
        </w:rPr>
        <w:t>Depending on the services available at each site, students may have access to primary and preventive care, physical examinations, immunizations, behavioral health services, reproductive and sexual health services, chronic disease management, oral healthcare, screenings, health education, referrals, and care coordination.</w:t>
      </w:r>
    </w:p>
    <w:p w14:paraId="5A213B22" w14:textId="77777777" w:rsidR="00EB17D5" w:rsidRPr="007C433B" w:rsidRDefault="00EB17D5" w:rsidP="002B6BED">
      <w:pPr>
        <w:spacing w:after="0" w:line="240" w:lineRule="auto"/>
        <w:rPr>
          <w:rFonts w:ascii="Aptos" w:hAnsi="Aptos"/>
        </w:rPr>
      </w:pPr>
      <w:r w:rsidRPr="007C433B">
        <w:rPr>
          <w:rFonts w:ascii="Aptos" w:hAnsi="Aptos"/>
        </w:rPr>
        <w:t>Accessing care at school can mean:</w:t>
      </w:r>
    </w:p>
    <w:p w14:paraId="47E67246" w14:textId="77777777" w:rsidR="00EB17D5" w:rsidRPr="007C433B" w:rsidRDefault="00EB17D5" w:rsidP="002B6BED">
      <w:pPr>
        <w:numPr>
          <w:ilvl w:val="0"/>
          <w:numId w:val="6"/>
        </w:numPr>
        <w:spacing w:after="0" w:line="240" w:lineRule="auto"/>
        <w:rPr>
          <w:rFonts w:ascii="Aptos" w:hAnsi="Aptos"/>
        </w:rPr>
      </w:pPr>
      <w:r w:rsidRPr="007C433B">
        <w:rPr>
          <w:rFonts w:ascii="Aptos" w:hAnsi="Aptos"/>
        </w:rPr>
        <w:t>Students receive care without having to leave the school environment;</w:t>
      </w:r>
    </w:p>
    <w:p w14:paraId="6EBAC8FC" w14:textId="77777777" w:rsidR="00EB17D5" w:rsidRPr="007C433B" w:rsidRDefault="00EB17D5" w:rsidP="002B6BED">
      <w:pPr>
        <w:numPr>
          <w:ilvl w:val="0"/>
          <w:numId w:val="6"/>
        </w:numPr>
        <w:spacing w:after="0" w:line="240" w:lineRule="auto"/>
        <w:rPr>
          <w:rFonts w:ascii="Aptos" w:hAnsi="Aptos"/>
        </w:rPr>
      </w:pPr>
      <w:r w:rsidRPr="007C433B">
        <w:rPr>
          <w:rFonts w:ascii="Aptos" w:hAnsi="Aptos"/>
        </w:rPr>
        <w:t>Health concerns can be identified and addressed earlier;</w:t>
      </w:r>
    </w:p>
    <w:p w14:paraId="0EBD586C" w14:textId="77777777" w:rsidR="00EB17D5" w:rsidRPr="007C433B" w:rsidRDefault="00EB17D5" w:rsidP="002B6BED">
      <w:pPr>
        <w:numPr>
          <w:ilvl w:val="0"/>
          <w:numId w:val="6"/>
        </w:numPr>
        <w:spacing w:after="0" w:line="240" w:lineRule="auto"/>
        <w:rPr>
          <w:rFonts w:ascii="Aptos" w:hAnsi="Aptos"/>
        </w:rPr>
      </w:pPr>
      <w:r w:rsidRPr="007C433B">
        <w:rPr>
          <w:rFonts w:ascii="Aptos" w:hAnsi="Aptos"/>
        </w:rPr>
        <w:t>Students can have more consistent access to care and follow-up;</w:t>
      </w:r>
    </w:p>
    <w:p w14:paraId="10F5D7DE" w14:textId="77777777" w:rsidR="00EB17D5" w:rsidRPr="007C433B" w:rsidRDefault="00EB17D5" w:rsidP="002B6BED">
      <w:pPr>
        <w:numPr>
          <w:ilvl w:val="0"/>
          <w:numId w:val="6"/>
        </w:numPr>
        <w:spacing w:after="0" w:line="240" w:lineRule="auto"/>
        <w:rPr>
          <w:rFonts w:ascii="Aptos" w:hAnsi="Aptos"/>
        </w:rPr>
      </w:pPr>
      <w:r w:rsidRPr="007C433B">
        <w:rPr>
          <w:rFonts w:ascii="Aptos" w:hAnsi="Aptos"/>
        </w:rPr>
        <w:t>Families may have fewer transportation and scheduling challenges; and</w:t>
      </w:r>
    </w:p>
    <w:p w14:paraId="09B571D3" w14:textId="10225BA1" w:rsidR="002B6BED" w:rsidRPr="007C433B" w:rsidRDefault="00EB17D5" w:rsidP="00EB17D5">
      <w:pPr>
        <w:numPr>
          <w:ilvl w:val="0"/>
          <w:numId w:val="6"/>
        </w:numPr>
        <w:spacing w:after="0" w:line="240" w:lineRule="auto"/>
        <w:rPr>
          <w:rFonts w:ascii="Aptos" w:hAnsi="Aptos"/>
        </w:rPr>
      </w:pPr>
      <w:r w:rsidRPr="007C433B">
        <w:rPr>
          <w:rFonts w:ascii="Aptos" w:hAnsi="Aptos"/>
        </w:rPr>
        <w:t>Students may spend less time away from school for healthcare appointments.</w:t>
      </w:r>
    </w:p>
    <w:p w14:paraId="5BBC7306" w14:textId="77777777" w:rsidR="002B6BED" w:rsidRPr="007C433B" w:rsidRDefault="002B6BED" w:rsidP="002B6BED">
      <w:pPr>
        <w:spacing w:after="0" w:line="240" w:lineRule="auto"/>
        <w:ind w:left="720"/>
        <w:rPr>
          <w:rFonts w:ascii="Aptos" w:hAnsi="Aptos"/>
        </w:rPr>
      </w:pPr>
    </w:p>
    <w:p w14:paraId="06ABEBEE" w14:textId="55E33D59" w:rsidR="00EB17D5" w:rsidRPr="007C433B" w:rsidRDefault="00EB17D5" w:rsidP="00EB17D5">
      <w:pPr>
        <w:rPr>
          <w:rFonts w:ascii="Aptos" w:hAnsi="Aptos"/>
        </w:rPr>
      </w:pPr>
      <w:r w:rsidRPr="007C433B">
        <w:rPr>
          <w:rFonts w:ascii="Aptos" w:hAnsi="Aptos"/>
        </w:rPr>
        <w:t>For some students, the SBHC may also provide a critical point of connection to healthcare and other community services that might otherwise be difficult to access.</w:t>
      </w:r>
    </w:p>
    <w:p w14:paraId="0C86C974" w14:textId="77777777" w:rsidR="00EB17D5" w:rsidRPr="007C433B" w:rsidRDefault="00EB17D5" w:rsidP="00EB17D5">
      <w:pPr>
        <w:rPr>
          <w:rFonts w:ascii="Aptos" w:hAnsi="Aptos"/>
          <w:b/>
          <w:bCs/>
        </w:rPr>
      </w:pPr>
      <w:r w:rsidRPr="007C433B">
        <w:rPr>
          <w:rFonts w:ascii="Aptos" w:hAnsi="Aptos"/>
          <w:b/>
          <w:bCs/>
        </w:rPr>
        <w:t>Supporting Physical and Behavioral Health</w:t>
      </w:r>
    </w:p>
    <w:p w14:paraId="29EB1F43" w14:textId="77777777" w:rsidR="00EB17D5" w:rsidRPr="007C433B" w:rsidRDefault="00EB17D5" w:rsidP="00EB17D5">
      <w:pPr>
        <w:rPr>
          <w:rFonts w:ascii="Aptos" w:hAnsi="Aptos"/>
        </w:rPr>
      </w:pPr>
      <w:r w:rsidRPr="007C433B">
        <w:rPr>
          <w:rFonts w:ascii="Aptos" w:hAnsi="Aptos"/>
        </w:rPr>
        <w:lastRenderedPageBreak/>
        <w:t>SBHCs provide opportunities to address both physical and behavioral health needs in an accessible and familiar setting.</w:t>
      </w:r>
    </w:p>
    <w:p w14:paraId="3C1B290D" w14:textId="77777777" w:rsidR="00EB17D5" w:rsidRPr="007C433B" w:rsidRDefault="00EB17D5" w:rsidP="00EB17D5">
      <w:pPr>
        <w:rPr>
          <w:rFonts w:ascii="Aptos" w:hAnsi="Aptos"/>
        </w:rPr>
      </w:pPr>
      <w:r w:rsidRPr="007C433B">
        <w:rPr>
          <w:rFonts w:ascii="Aptos" w:hAnsi="Aptos"/>
        </w:rPr>
        <w:t>Preventive care and chronic disease management can help students manage conditions such as asthma and identify health concerns before they become more serious. Depending on the services available, SBHCs can also provide behavioral health screening, counseling, treatment, referral, and care coordination.</w:t>
      </w:r>
    </w:p>
    <w:p w14:paraId="7902BE25" w14:textId="77777777" w:rsidR="00EB17D5" w:rsidRPr="007C433B" w:rsidRDefault="00EB17D5" w:rsidP="00EB17D5">
      <w:pPr>
        <w:rPr>
          <w:rFonts w:ascii="Aptos" w:hAnsi="Aptos"/>
        </w:rPr>
      </w:pPr>
      <w:r w:rsidRPr="007C433B">
        <w:rPr>
          <w:rFonts w:ascii="Aptos" w:hAnsi="Aptos"/>
        </w:rPr>
        <w:t>This is particularly important for students experiencing anxiety, depression, trauma, family stress, substance-use concerns, suicidal ideation, or other behavioral health needs. Providing services in school can reduce logistical barriers and create opportunities for earlier identification and intervention.</w:t>
      </w:r>
    </w:p>
    <w:p w14:paraId="79459D41" w14:textId="77777777" w:rsidR="00EB17D5" w:rsidRPr="007C433B" w:rsidRDefault="00EB17D5" w:rsidP="00EB17D5">
      <w:pPr>
        <w:rPr>
          <w:rFonts w:ascii="Aptos" w:hAnsi="Aptos"/>
        </w:rPr>
      </w:pPr>
      <w:r w:rsidRPr="007C433B">
        <w:rPr>
          <w:rFonts w:ascii="Aptos" w:hAnsi="Aptos"/>
        </w:rPr>
        <w:t>SBHC providers can also coordinate, as appropriate and consistent with confidentiality requirements, with families, school nurses, counselors, educators, primary care providers, community behavioral health organizations, and other partners supporting the student.</w:t>
      </w:r>
    </w:p>
    <w:p w14:paraId="7EAEC4B7" w14:textId="77777777" w:rsidR="00EB17D5" w:rsidRPr="007C433B" w:rsidRDefault="00EB17D5" w:rsidP="00EB17D5">
      <w:pPr>
        <w:rPr>
          <w:rFonts w:ascii="Aptos" w:hAnsi="Aptos"/>
          <w:b/>
          <w:bCs/>
        </w:rPr>
      </w:pPr>
      <w:r w:rsidRPr="007C433B">
        <w:rPr>
          <w:rFonts w:ascii="Aptos" w:hAnsi="Aptos"/>
          <w:b/>
          <w:bCs/>
        </w:rPr>
        <w:t>Supporting Student Attendance, Engagement, and Learning</w:t>
      </w:r>
    </w:p>
    <w:p w14:paraId="11BD954C" w14:textId="77777777" w:rsidR="00EB17D5" w:rsidRPr="007C433B" w:rsidRDefault="00EB17D5" w:rsidP="00EB17D5">
      <w:pPr>
        <w:rPr>
          <w:rFonts w:ascii="Aptos" w:hAnsi="Aptos"/>
        </w:rPr>
      </w:pPr>
      <w:r w:rsidRPr="007C433B">
        <w:rPr>
          <w:rFonts w:ascii="Aptos" w:hAnsi="Aptos"/>
        </w:rPr>
        <w:t>Student health and educational success are closely connected. When students are dealing with untreated physical or behavioral health needs, chronic conditions, or other health-related challenges, those needs can affect attendance, participation, concentration, relationships, and readiness to learn.</w:t>
      </w:r>
    </w:p>
    <w:p w14:paraId="31153EFB" w14:textId="77777777" w:rsidR="00EB17D5" w:rsidRPr="007C433B" w:rsidRDefault="00EB17D5" w:rsidP="00EB17D5">
      <w:pPr>
        <w:rPr>
          <w:rFonts w:ascii="Aptos" w:hAnsi="Aptos"/>
        </w:rPr>
      </w:pPr>
      <w:r w:rsidRPr="007C433B">
        <w:rPr>
          <w:rFonts w:ascii="Aptos" w:hAnsi="Aptos"/>
        </w:rPr>
        <w:t>By addressing health needs where students are already present, SBHCs can help reduce health-related barriers to attending school and engaging in the classroom.</w:t>
      </w:r>
    </w:p>
    <w:p w14:paraId="171DE9C5" w14:textId="77777777" w:rsidR="00EB17D5" w:rsidRPr="007C433B" w:rsidRDefault="00EB17D5" w:rsidP="00EB17D5">
      <w:pPr>
        <w:rPr>
          <w:rFonts w:ascii="Aptos" w:hAnsi="Aptos"/>
        </w:rPr>
      </w:pPr>
      <w:r w:rsidRPr="007C433B">
        <w:rPr>
          <w:rFonts w:ascii="Aptos" w:hAnsi="Aptos"/>
        </w:rPr>
        <w:t>This makes the SBHC model an important part of supporting the whole child. Healthcare providers and school staff can work within their respective roles to address health-related needs that may otherwise interfere with a student's ability to participate fully in school.</w:t>
      </w:r>
    </w:p>
    <w:p w14:paraId="719DE216" w14:textId="77777777" w:rsidR="00EB17D5" w:rsidRPr="007C433B" w:rsidRDefault="00EB17D5" w:rsidP="00EB17D5">
      <w:pPr>
        <w:rPr>
          <w:rFonts w:ascii="Aptos" w:hAnsi="Aptos"/>
        </w:rPr>
      </w:pPr>
      <w:r w:rsidRPr="007C433B">
        <w:rPr>
          <w:rFonts w:ascii="Aptos" w:hAnsi="Aptos"/>
        </w:rPr>
        <w:t>Importantly, the benefit extends beyond individual healthcare appointments. When students are healthier and their health needs are addressed, they are better positioned to attend school consistently, participate in learning, and remain connected to their school community.</w:t>
      </w:r>
    </w:p>
    <w:p w14:paraId="50F756AF" w14:textId="77777777" w:rsidR="00EB17D5" w:rsidRPr="007C433B" w:rsidRDefault="00EB17D5" w:rsidP="00EB17D5">
      <w:pPr>
        <w:rPr>
          <w:rFonts w:ascii="Aptos" w:hAnsi="Aptos"/>
          <w:b/>
          <w:bCs/>
        </w:rPr>
      </w:pPr>
      <w:r w:rsidRPr="007C433B">
        <w:rPr>
          <w:rFonts w:ascii="Aptos" w:hAnsi="Aptos"/>
          <w:b/>
          <w:bCs/>
        </w:rPr>
        <w:t>Supporting Families and a Coordinated System of Care</w:t>
      </w:r>
    </w:p>
    <w:p w14:paraId="3BC5589B" w14:textId="77777777" w:rsidR="00EB17D5" w:rsidRPr="007C433B" w:rsidRDefault="00EB17D5" w:rsidP="00EB17D5">
      <w:pPr>
        <w:rPr>
          <w:rFonts w:ascii="Aptos" w:hAnsi="Aptos"/>
        </w:rPr>
      </w:pPr>
      <w:r w:rsidRPr="007C433B">
        <w:rPr>
          <w:rFonts w:ascii="Aptos" w:hAnsi="Aptos"/>
        </w:rPr>
        <w:t>SBHCs can also reduce practical burdens on families. When appropriate care is available at school, parents and caregivers may not need to leave work, arrange transportation, or take students out of school for appointments.</w:t>
      </w:r>
    </w:p>
    <w:p w14:paraId="1CE514C4" w14:textId="77777777" w:rsidR="00EB17D5" w:rsidRPr="007C433B" w:rsidRDefault="00EB17D5" w:rsidP="00EB17D5">
      <w:pPr>
        <w:rPr>
          <w:rFonts w:ascii="Aptos" w:hAnsi="Aptos"/>
        </w:rPr>
      </w:pPr>
      <w:r w:rsidRPr="007C433B">
        <w:rPr>
          <w:rFonts w:ascii="Aptos" w:hAnsi="Aptos"/>
        </w:rPr>
        <w:t>SBHCs can serve as a bridge among healthcare, education, families, and community services. While maintaining appropriate confidentiality and professional boundaries, SBHC providers can help connect students and families to services beyond the health center and coordinate with other providers when appropriate.</w:t>
      </w:r>
    </w:p>
    <w:p w14:paraId="1B5A709B" w14:textId="77777777" w:rsidR="00EB17D5" w:rsidRDefault="00EB17D5" w:rsidP="00EB17D5">
      <w:pPr>
        <w:rPr>
          <w:rFonts w:ascii="Aptos" w:hAnsi="Aptos"/>
        </w:rPr>
      </w:pPr>
      <w:r w:rsidRPr="007C433B">
        <w:rPr>
          <w:rFonts w:ascii="Aptos" w:hAnsi="Aptos"/>
        </w:rPr>
        <w:t>This creates a more connected approach to supporting children and adolescents—one that recognizes that health, family circumstances, school participation, and educational success are interconnected.</w:t>
      </w:r>
    </w:p>
    <w:p w14:paraId="696F2EDF" w14:textId="77777777" w:rsidR="007C433B" w:rsidRDefault="007C433B" w:rsidP="00EB17D5">
      <w:pPr>
        <w:rPr>
          <w:rFonts w:ascii="Aptos" w:hAnsi="Aptos"/>
        </w:rPr>
      </w:pPr>
    </w:p>
    <w:p w14:paraId="08BA0159" w14:textId="77777777" w:rsidR="007C433B" w:rsidRPr="007C433B" w:rsidRDefault="007C433B" w:rsidP="00EB17D5">
      <w:pPr>
        <w:rPr>
          <w:rFonts w:ascii="Aptos" w:hAnsi="Aptos"/>
        </w:rPr>
      </w:pPr>
    </w:p>
    <w:p w14:paraId="779EB622" w14:textId="77777777" w:rsidR="00EB17D5" w:rsidRPr="007C433B" w:rsidRDefault="00EB17D5" w:rsidP="00EB17D5">
      <w:pPr>
        <w:rPr>
          <w:rFonts w:ascii="Aptos" w:hAnsi="Aptos"/>
          <w:b/>
          <w:bCs/>
        </w:rPr>
      </w:pPr>
      <w:r w:rsidRPr="007C433B">
        <w:rPr>
          <w:rFonts w:ascii="Aptos" w:hAnsi="Aptos"/>
          <w:b/>
          <w:bCs/>
        </w:rPr>
        <w:t>An Important Investment in Connecticut's Children</w:t>
      </w:r>
    </w:p>
    <w:p w14:paraId="1EBE2FAA" w14:textId="70E94444" w:rsidR="00EB17D5" w:rsidRPr="007C433B" w:rsidRDefault="00EB17D5" w:rsidP="00EB17D5">
      <w:pPr>
        <w:rPr>
          <w:rFonts w:ascii="Aptos" w:hAnsi="Aptos"/>
        </w:rPr>
      </w:pPr>
      <w:r w:rsidRPr="007C433B">
        <w:rPr>
          <w:rFonts w:ascii="Aptos" w:hAnsi="Aptos"/>
        </w:rPr>
        <w:t xml:space="preserve">The value of SBHCs is rooted in a straightforward model: </w:t>
      </w:r>
      <w:r w:rsidR="007C433B" w:rsidRPr="007C433B">
        <w:rPr>
          <w:rFonts w:ascii="Aptos" w:hAnsi="Aptos"/>
        </w:rPr>
        <w:t>bringing</w:t>
      </w:r>
      <w:r w:rsidRPr="007C433B">
        <w:rPr>
          <w:rFonts w:ascii="Aptos" w:hAnsi="Aptos"/>
        </w:rPr>
        <w:t xml:space="preserve"> healthcare to students rather than requiring students and families to overcome barriers to reach healthcare.</w:t>
      </w:r>
    </w:p>
    <w:p w14:paraId="0137433C" w14:textId="77777777" w:rsidR="00EB17D5" w:rsidRPr="007C433B" w:rsidRDefault="00EB17D5" w:rsidP="00EB17D5">
      <w:pPr>
        <w:rPr>
          <w:rFonts w:ascii="Aptos" w:hAnsi="Aptos"/>
        </w:rPr>
      </w:pPr>
      <w:r w:rsidRPr="007C433B">
        <w:rPr>
          <w:rFonts w:ascii="Aptos" w:hAnsi="Aptos"/>
        </w:rPr>
        <w:t>By providing accessible care within schools, SBHCs create opportunities for prevention and early intervention, support physical and behavioral health, reduce health-related barriers to attendance and learning, and connect students and families to broader systems of care.</w:t>
      </w:r>
    </w:p>
    <w:p w14:paraId="401B0A4C" w14:textId="77777777" w:rsidR="00EB17D5" w:rsidRPr="007C433B" w:rsidRDefault="00EB17D5" w:rsidP="00EB17D5">
      <w:pPr>
        <w:rPr>
          <w:rFonts w:ascii="Aptos" w:hAnsi="Aptos"/>
        </w:rPr>
      </w:pPr>
      <w:r w:rsidRPr="007C433B">
        <w:rPr>
          <w:rFonts w:ascii="Aptos" w:hAnsi="Aptos"/>
        </w:rPr>
        <w:t>For Connecticut, SBHCs are therefore not simply healthcare services located in schools. They are an important component of the infrastructure supporting the health, well-being, and educational success of children and adolescents.</w:t>
      </w:r>
    </w:p>
    <w:p w14:paraId="4C0D65E4" w14:textId="7BE1FBDC" w:rsidR="00D61A32" w:rsidRPr="007C433B" w:rsidRDefault="00F5797E" w:rsidP="00D61A32">
      <w:pPr>
        <w:pStyle w:val="Heading3"/>
        <w:rPr>
          <w:rFonts w:ascii="Aptos" w:hAnsi="Aptos"/>
          <w:b/>
          <w:bCs/>
          <w:color w:val="auto"/>
        </w:rPr>
      </w:pPr>
      <w:bookmarkStart w:id="9" w:name="_Toc241838547"/>
      <w:r w:rsidRPr="007C433B">
        <w:rPr>
          <w:rFonts w:ascii="Aptos" w:hAnsi="Aptos"/>
          <w:b/>
          <w:bCs/>
          <w:color w:val="auto"/>
        </w:rPr>
        <w:t>Challenges &amp; Barriers Facing SBHC’s in CT</w:t>
      </w:r>
      <w:bookmarkEnd w:id="9"/>
    </w:p>
    <w:p w14:paraId="1C9D8171" w14:textId="52C4A461" w:rsidR="00921092" w:rsidRPr="007C433B" w:rsidRDefault="00921092" w:rsidP="00921092">
      <w:pPr>
        <w:rPr>
          <w:rFonts w:ascii="Aptos" w:hAnsi="Aptos"/>
        </w:rPr>
      </w:pPr>
      <w:r w:rsidRPr="007C433B">
        <w:rPr>
          <w:rFonts w:ascii="Aptos" w:hAnsi="Aptos"/>
        </w:rPr>
        <w:t>Connecticut’s SBHCs remain an important access point for healthcare for children and adolescents, but their ability to sustain and expand services is affected by several interconnected challenges. Growing behavioral health needs, workforce shortages, reimbursement limitations, increasing administrative and regulatory requirements, and uneven funding all place pressure on SBHC capacity.</w:t>
      </w:r>
    </w:p>
    <w:p w14:paraId="617B7E53" w14:textId="77777777" w:rsidR="00921092" w:rsidRPr="007C433B" w:rsidRDefault="00921092" w:rsidP="00921092">
      <w:pPr>
        <w:rPr>
          <w:rFonts w:ascii="Aptos" w:hAnsi="Aptos"/>
          <w:b/>
          <w:bCs/>
        </w:rPr>
      </w:pPr>
      <w:r w:rsidRPr="007C433B">
        <w:rPr>
          <w:rFonts w:ascii="Aptos" w:hAnsi="Aptos"/>
          <w:b/>
          <w:bCs/>
        </w:rPr>
        <w:t>Sustainable Funding and Reimbursement</w:t>
      </w:r>
    </w:p>
    <w:p w14:paraId="59AA31C8" w14:textId="77777777" w:rsidR="00921092" w:rsidRPr="007C433B" w:rsidRDefault="00921092" w:rsidP="00921092">
      <w:pPr>
        <w:rPr>
          <w:rFonts w:ascii="Aptos" w:hAnsi="Aptos"/>
        </w:rPr>
      </w:pPr>
      <w:r w:rsidRPr="007C433B">
        <w:rPr>
          <w:rFonts w:ascii="Aptos" w:hAnsi="Aptos"/>
        </w:rPr>
        <w:t>Long-term financial sustainability remains a central challenge for SBHCs. Centers rely on a combination of state appropriations, Medicaid and commercial insurance reimbursement, sponsoring-organization support, grants, and other funding sources, with the mix varying across organizations and sites.</w:t>
      </w:r>
    </w:p>
    <w:p w14:paraId="7144BA9E" w14:textId="77777777" w:rsidR="00921092" w:rsidRPr="007C433B" w:rsidRDefault="00921092" w:rsidP="00921092">
      <w:pPr>
        <w:rPr>
          <w:rFonts w:ascii="Aptos" w:hAnsi="Aptos"/>
        </w:rPr>
      </w:pPr>
      <w:r w:rsidRPr="007C433B">
        <w:rPr>
          <w:rFonts w:ascii="Aptos" w:hAnsi="Aptos"/>
        </w:rPr>
        <w:t>While recent state investments have provided important support, Connecticut does not yet have a comprehensive financing approach that consistently reflects the actual cost of operating SBHCs across communities. This can affect staffing, service availability, infrastructure, and long-term planning.</w:t>
      </w:r>
    </w:p>
    <w:p w14:paraId="74B82DFD" w14:textId="77777777" w:rsidR="00921092" w:rsidRPr="007C433B" w:rsidRDefault="00921092" w:rsidP="00921092">
      <w:pPr>
        <w:rPr>
          <w:rFonts w:ascii="Aptos" w:hAnsi="Aptos"/>
        </w:rPr>
      </w:pPr>
      <w:r w:rsidRPr="007C433B">
        <w:rPr>
          <w:rFonts w:ascii="Aptos" w:hAnsi="Aptos"/>
        </w:rPr>
        <w:t>Medicaid reimbursement is an important part of this issue. Connecticut's expansion of the School Based Child Health Medicaid program effective July 1, 2026, creates opportunities for broader coverage of medically necessary nursing and behavioral health services. At the same time, implementation has introduced additional administrative requirements related to enrollment, billing, eligibility, administrative claiming, and cost reporting.</w:t>
      </w:r>
    </w:p>
    <w:p w14:paraId="58C94702" w14:textId="77777777" w:rsidR="00921092" w:rsidRPr="007C433B" w:rsidRDefault="00921092" w:rsidP="00921092">
      <w:pPr>
        <w:rPr>
          <w:rFonts w:ascii="Aptos" w:hAnsi="Aptos"/>
        </w:rPr>
      </w:pPr>
      <w:r w:rsidRPr="007C433B">
        <w:rPr>
          <w:rFonts w:ascii="Aptos" w:hAnsi="Aptos"/>
        </w:rPr>
        <w:t>SBHCs may also provide services that are necessary for students but are not fully reimbursed by available payers. Because their mission is centered on access, sponsoring organizations may absorb these costs rather than create barriers for students and families.</w:t>
      </w:r>
    </w:p>
    <w:p w14:paraId="3CB5FA8F" w14:textId="77777777" w:rsidR="00921092" w:rsidRDefault="00921092" w:rsidP="00921092">
      <w:pPr>
        <w:rPr>
          <w:rFonts w:ascii="Aptos" w:hAnsi="Aptos"/>
        </w:rPr>
      </w:pPr>
      <w:r w:rsidRPr="007C433B">
        <w:rPr>
          <w:rFonts w:ascii="Aptos" w:hAnsi="Aptos"/>
        </w:rPr>
        <w:t>Together, these factors highlight the importance of ensuring that funding and reimbursement mechanisms reflect the actual costs and operational realities of delivering healthcare in school settings.</w:t>
      </w:r>
    </w:p>
    <w:p w14:paraId="5EC360A6" w14:textId="77777777" w:rsidR="007C433B" w:rsidRDefault="007C433B" w:rsidP="00921092">
      <w:pPr>
        <w:rPr>
          <w:rFonts w:ascii="Aptos" w:hAnsi="Aptos"/>
        </w:rPr>
      </w:pPr>
    </w:p>
    <w:p w14:paraId="5A04C872" w14:textId="77777777" w:rsidR="007C433B" w:rsidRPr="007C433B" w:rsidRDefault="007C433B" w:rsidP="00921092">
      <w:pPr>
        <w:rPr>
          <w:rFonts w:ascii="Aptos" w:hAnsi="Aptos"/>
        </w:rPr>
      </w:pPr>
    </w:p>
    <w:p w14:paraId="2C5A09D4" w14:textId="77777777" w:rsidR="00921092" w:rsidRPr="007C433B" w:rsidRDefault="00921092" w:rsidP="00921092">
      <w:pPr>
        <w:rPr>
          <w:rFonts w:ascii="Aptos" w:hAnsi="Aptos"/>
          <w:b/>
          <w:bCs/>
        </w:rPr>
      </w:pPr>
      <w:r w:rsidRPr="007C433B">
        <w:rPr>
          <w:rFonts w:ascii="Aptos" w:hAnsi="Aptos"/>
          <w:b/>
          <w:bCs/>
        </w:rPr>
        <w:t>Workforce Capacity</w:t>
      </w:r>
    </w:p>
    <w:p w14:paraId="1537E79B" w14:textId="77777777" w:rsidR="00921092" w:rsidRPr="007C433B" w:rsidRDefault="00921092" w:rsidP="00921092">
      <w:pPr>
        <w:rPr>
          <w:rFonts w:ascii="Aptos" w:hAnsi="Aptos"/>
        </w:rPr>
      </w:pPr>
      <w:r w:rsidRPr="007C433B">
        <w:rPr>
          <w:rFonts w:ascii="Aptos" w:hAnsi="Aptos"/>
        </w:rPr>
        <w:t>Workforce shortages continue to affect SBHC capacity, particularly in behavioral health and other high-demand clinical areas. Recruiting and retaining professionals with expertise in adolescent health, school-based care, trauma-informed practice, and culturally responsive care can be challenging.</w:t>
      </w:r>
    </w:p>
    <w:p w14:paraId="1CBCD3C4" w14:textId="77777777" w:rsidR="00921092" w:rsidRPr="007C433B" w:rsidRDefault="00921092" w:rsidP="00921092">
      <w:pPr>
        <w:rPr>
          <w:rFonts w:ascii="Aptos" w:hAnsi="Aptos"/>
        </w:rPr>
      </w:pPr>
      <w:r w:rsidRPr="007C433B">
        <w:rPr>
          <w:rFonts w:ascii="Aptos" w:hAnsi="Aptos"/>
        </w:rPr>
        <w:t>At the same time, SBHC professionals are managing increasingly complex student needs while balancing clinical care with documentation, insurance requirements, referrals, care coordination, family engagement, and school schedules.</w:t>
      </w:r>
    </w:p>
    <w:p w14:paraId="1314D15C" w14:textId="77777777" w:rsidR="00921092" w:rsidRPr="007C433B" w:rsidRDefault="00921092" w:rsidP="00921092">
      <w:pPr>
        <w:rPr>
          <w:rFonts w:ascii="Aptos" w:hAnsi="Aptos"/>
        </w:rPr>
      </w:pPr>
      <w:r w:rsidRPr="007C433B">
        <w:rPr>
          <w:rFonts w:ascii="Aptos" w:hAnsi="Aptos"/>
        </w:rPr>
        <w:t>Workforce sustainability therefore involves more than recruitment. Compensation, professional development, clinical supervision, manageable workloads, provider wellness, and retention are all important to maintaining a stable SBHC workforce.</w:t>
      </w:r>
    </w:p>
    <w:p w14:paraId="20B07105" w14:textId="77777777" w:rsidR="00921092" w:rsidRPr="007C433B" w:rsidRDefault="00921092" w:rsidP="00921092">
      <w:pPr>
        <w:rPr>
          <w:rFonts w:ascii="Aptos" w:hAnsi="Aptos"/>
          <w:b/>
          <w:bCs/>
        </w:rPr>
      </w:pPr>
      <w:r w:rsidRPr="007C433B">
        <w:rPr>
          <w:rFonts w:ascii="Aptos" w:hAnsi="Aptos"/>
          <w:b/>
          <w:bCs/>
        </w:rPr>
        <w:t>Behavioral Health Continuum and Referral Capacity</w:t>
      </w:r>
    </w:p>
    <w:p w14:paraId="2BEC81F1" w14:textId="77777777" w:rsidR="00921092" w:rsidRPr="007C433B" w:rsidRDefault="00921092" w:rsidP="00921092">
      <w:pPr>
        <w:rPr>
          <w:rFonts w:ascii="Aptos" w:hAnsi="Aptos"/>
        </w:rPr>
      </w:pPr>
      <w:r w:rsidRPr="007C433B">
        <w:rPr>
          <w:rFonts w:ascii="Aptos" w:hAnsi="Aptos"/>
        </w:rPr>
        <w:t>SBHCs can identify behavioral health concerns early and provide accessible services within schools. However, identifying a need does not guarantee timely access to the next level of care.</w:t>
      </w:r>
    </w:p>
    <w:p w14:paraId="2B41CC13" w14:textId="77777777" w:rsidR="00921092" w:rsidRPr="007C433B" w:rsidRDefault="00921092" w:rsidP="00921092">
      <w:pPr>
        <w:rPr>
          <w:rFonts w:ascii="Aptos" w:hAnsi="Aptos"/>
        </w:rPr>
      </w:pPr>
      <w:r w:rsidRPr="007C433B">
        <w:rPr>
          <w:rFonts w:ascii="Aptos" w:hAnsi="Aptos"/>
        </w:rPr>
        <w:t>When students need intensive outpatient treatment, specialized psychiatric services, substance-use treatment, crisis stabilization, residential treatment, or inpatient care, SBHC clinicians may encounter limited provider availability, eligibility requirements, and lengthy wait times. Clinicians may continue supporting students while families wait for appropriate specialty or higher-level services.</w:t>
      </w:r>
    </w:p>
    <w:p w14:paraId="163EC05C" w14:textId="5C636886" w:rsidR="00921092" w:rsidRPr="007C433B" w:rsidRDefault="00921092" w:rsidP="00921092">
      <w:pPr>
        <w:rPr>
          <w:rFonts w:ascii="Aptos" w:hAnsi="Aptos"/>
        </w:rPr>
      </w:pPr>
      <w:r w:rsidRPr="007C433B">
        <w:rPr>
          <w:rFonts w:ascii="Aptos" w:hAnsi="Aptos"/>
        </w:rPr>
        <w:t xml:space="preserve">Strengthening connections between SBHCs and Connecticut’s broader children's behavioral health system—including referral pathways, availability of specialty services, and care coordination—is therefore important to </w:t>
      </w:r>
      <w:r w:rsidR="007C433B" w:rsidRPr="007C433B">
        <w:rPr>
          <w:rFonts w:ascii="Aptos" w:hAnsi="Aptos"/>
        </w:rPr>
        <w:t>ensure</w:t>
      </w:r>
      <w:r w:rsidRPr="007C433B">
        <w:rPr>
          <w:rFonts w:ascii="Aptos" w:hAnsi="Aptos"/>
        </w:rPr>
        <w:t xml:space="preserve"> that students can access the level of care they need.</w:t>
      </w:r>
    </w:p>
    <w:p w14:paraId="00663988" w14:textId="77777777" w:rsidR="00921092" w:rsidRPr="007C433B" w:rsidRDefault="00921092" w:rsidP="00921092">
      <w:pPr>
        <w:rPr>
          <w:rFonts w:ascii="Aptos" w:hAnsi="Aptos"/>
          <w:b/>
          <w:bCs/>
        </w:rPr>
      </w:pPr>
      <w:r w:rsidRPr="007C433B">
        <w:rPr>
          <w:rFonts w:ascii="Aptos" w:hAnsi="Aptos"/>
          <w:b/>
          <w:bCs/>
        </w:rPr>
        <w:t>Administrative and Regulatory Capacity</w:t>
      </w:r>
    </w:p>
    <w:p w14:paraId="6CB9BB0B" w14:textId="77777777" w:rsidR="00921092" w:rsidRPr="007C433B" w:rsidRDefault="00921092" w:rsidP="00921092">
      <w:pPr>
        <w:rPr>
          <w:rFonts w:ascii="Aptos" w:hAnsi="Aptos"/>
        </w:rPr>
      </w:pPr>
      <w:r w:rsidRPr="007C433B">
        <w:rPr>
          <w:rFonts w:ascii="Aptos" w:hAnsi="Aptos"/>
        </w:rPr>
        <w:t>As the role of SBHCs expands, so do the clinical, administrative, and regulatory responsibilities placed on providers.</w:t>
      </w:r>
    </w:p>
    <w:p w14:paraId="2C498E62" w14:textId="77777777" w:rsidR="00921092" w:rsidRPr="007C433B" w:rsidRDefault="00921092" w:rsidP="00921092">
      <w:pPr>
        <w:rPr>
          <w:rFonts w:ascii="Aptos" w:hAnsi="Aptos"/>
        </w:rPr>
      </w:pPr>
      <w:r w:rsidRPr="007C433B">
        <w:rPr>
          <w:rFonts w:ascii="Aptos" w:hAnsi="Aptos"/>
        </w:rPr>
        <w:t>Recent and upcoming policy changes illustrate this challenge. For example, beginning January 1, 2027, SBHCs will be required to use an evidence-based screening tool for the early identification of disordered eating behaviors among students in grades 6 through 12 during annual health assessments. Effective implementation will require appropriate provider training, clinical time, documentation, referral capacity, follow-up, and access to specialized treatment.</w:t>
      </w:r>
    </w:p>
    <w:p w14:paraId="1CE8115B" w14:textId="77777777" w:rsidR="00921092" w:rsidRPr="007C433B" w:rsidRDefault="00921092" w:rsidP="00921092">
      <w:pPr>
        <w:rPr>
          <w:rFonts w:ascii="Aptos" w:hAnsi="Aptos"/>
        </w:rPr>
      </w:pPr>
      <w:r w:rsidRPr="007C433B">
        <w:rPr>
          <w:rFonts w:ascii="Aptos" w:hAnsi="Aptos"/>
        </w:rPr>
        <w:t>Similarly, changes affecting adolescent reproductive healthcare require SBHCs that provide these services to maintain appropriate clinical protocols, confidentiality protections, electronic health record practices, billing processes, staff training, and communication systems.</w:t>
      </w:r>
    </w:p>
    <w:p w14:paraId="0DEE9C0A" w14:textId="77777777" w:rsidR="00921092" w:rsidRDefault="00921092" w:rsidP="00921092">
      <w:pPr>
        <w:rPr>
          <w:rFonts w:ascii="Aptos" w:hAnsi="Aptos"/>
        </w:rPr>
      </w:pPr>
      <w:r w:rsidRPr="007C433B">
        <w:rPr>
          <w:rFonts w:ascii="Aptos" w:hAnsi="Aptos"/>
        </w:rPr>
        <w:t>The broader issue is ensuring that new responsibilities are accompanied by the resources and infrastructure necessary for effective implementation.</w:t>
      </w:r>
    </w:p>
    <w:p w14:paraId="03A1F3FD" w14:textId="77777777" w:rsidR="007C433B" w:rsidRDefault="007C433B" w:rsidP="00921092">
      <w:pPr>
        <w:rPr>
          <w:rFonts w:ascii="Aptos" w:hAnsi="Aptos"/>
        </w:rPr>
      </w:pPr>
    </w:p>
    <w:p w14:paraId="37447CAC" w14:textId="77777777" w:rsidR="007C433B" w:rsidRPr="007C433B" w:rsidRDefault="007C433B" w:rsidP="00921092">
      <w:pPr>
        <w:rPr>
          <w:rFonts w:ascii="Aptos" w:hAnsi="Aptos"/>
        </w:rPr>
      </w:pPr>
    </w:p>
    <w:p w14:paraId="15E4E628" w14:textId="77777777" w:rsidR="00921092" w:rsidRPr="007C433B" w:rsidRDefault="00921092" w:rsidP="00921092">
      <w:pPr>
        <w:rPr>
          <w:rFonts w:ascii="Aptos" w:hAnsi="Aptos"/>
          <w:b/>
          <w:bCs/>
        </w:rPr>
      </w:pPr>
      <w:r w:rsidRPr="007C433B">
        <w:rPr>
          <w:rFonts w:ascii="Aptos" w:hAnsi="Aptos"/>
          <w:b/>
          <w:bCs/>
        </w:rPr>
        <w:t>Data and Statewide Infrastructure</w:t>
      </w:r>
    </w:p>
    <w:p w14:paraId="095E3AB1" w14:textId="77777777" w:rsidR="00921092" w:rsidRPr="007C433B" w:rsidRDefault="00921092" w:rsidP="00921092">
      <w:pPr>
        <w:rPr>
          <w:rFonts w:ascii="Aptos" w:hAnsi="Aptos"/>
        </w:rPr>
      </w:pPr>
      <w:r w:rsidRPr="007C433B">
        <w:rPr>
          <w:rFonts w:ascii="Aptos" w:hAnsi="Aptos"/>
        </w:rPr>
        <w:t>Connecticut currently lacks a single, comprehensive statewide data infrastructure that fully captures the location, sponsoring organization, service configuration, funding, utilization, outcomes, and sustainability needs of every school-based healthcare site. Individual sponsoring organizations collect substantial information, but differences in systems, definitions, reporting requirements, and organizational structures make statewide aggregation and comparison difficult.</w:t>
      </w:r>
    </w:p>
    <w:p w14:paraId="7EFE4794" w14:textId="77777777" w:rsidR="00921092" w:rsidRPr="007C433B" w:rsidRDefault="00921092" w:rsidP="00921092">
      <w:pPr>
        <w:rPr>
          <w:rFonts w:ascii="Aptos" w:hAnsi="Aptos"/>
        </w:rPr>
      </w:pPr>
      <w:r w:rsidRPr="007C433B">
        <w:rPr>
          <w:rFonts w:ascii="Aptos" w:hAnsi="Aptos"/>
        </w:rPr>
        <w:t>More consistent statewide data would strengthen Connecticut’s ability to understand the SBHC landscape, identify service gaps, assess outcomes, determine funding needs, and make informed policy decisions.</w:t>
      </w:r>
    </w:p>
    <w:p w14:paraId="7C0CEA34" w14:textId="77777777" w:rsidR="00921092" w:rsidRPr="007C433B" w:rsidRDefault="00921092" w:rsidP="00921092">
      <w:pPr>
        <w:rPr>
          <w:rFonts w:ascii="Aptos" w:hAnsi="Aptos"/>
        </w:rPr>
      </w:pPr>
      <w:r w:rsidRPr="007C433B">
        <w:rPr>
          <w:rFonts w:ascii="Aptos" w:hAnsi="Aptos"/>
        </w:rPr>
        <w:t>Data infrastructure should therefore be viewed as part of the state's SBHC infrastructure—not simply as an administrative requirement.</w:t>
      </w:r>
    </w:p>
    <w:p w14:paraId="1681CD65" w14:textId="77777777" w:rsidR="00921092" w:rsidRPr="007C433B" w:rsidRDefault="00921092" w:rsidP="00921092">
      <w:pPr>
        <w:rPr>
          <w:rFonts w:ascii="Aptos" w:hAnsi="Aptos"/>
          <w:b/>
          <w:bCs/>
        </w:rPr>
      </w:pPr>
      <w:r w:rsidRPr="007C433B">
        <w:rPr>
          <w:rFonts w:ascii="Aptos" w:hAnsi="Aptos"/>
          <w:b/>
          <w:bCs/>
        </w:rPr>
        <w:t>Maintaining Strong Connections to Schools and Recognizing Diverse Models</w:t>
      </w:r>
    </w:p>
    <w:p w14:paraId="0CB162F4" w14:textId="77777777" w:rsidR="00921092" w:rsidRPr="007C433B" w:rsidRDefault="00921092" w:rsidP="00921092">
      <w:pPr>
        <w:rPr>
          <w:rFonts w:ascii="Aptos" w:hAnsi="Aptos"/>
        </w:rPr>
      </w:pPr>
      <w:r w:rsidRPr="007C433B">
        <w:rPr>
          <w:rFonts w:ascii="Aptos" w:hAnsi="Aptos"/>
        </w:rPr>
        <w:t>SBHCs operate at the intersection of healthcare and education, making strong relationships with host schools essential. The degree of integration varies across sites, and providers may encounter challenges related to physical space, communication, role clarity, confidentiality, referrals, scheduling, and competing school priorities.</w:t>
      </w:r>
    </w:p>
    <w:p w14:paraId="0C2DD428" w14:textId="77777777" w:rsidR="00921092" w:rsidRPr="007C433B" w:rsidRDefault="00921092" w:rsidP="00921092">
      <w:pPr>
        <w:rPr>
          <w:rFonts w:ascii="Aptos" w:hAnsi="Aptos"/>
        </w:rPr>
      </w:pPr>
      <w:r w:rsidRPr="007C433B">
        <w:rPr>
          <w:rFonts w:ascii="Aptos" w:hAnsi="Aptos"/>
        </w:rPr>
        <w:t>At the same time, Connecticut's school-based healthcare system includes both comprehensive SBHCs and Expanded School Health Sites, as well as different combinations of medical, behavioral health, dental, and other services. As state and national partners consider definitions and terminology, it will be important to recognize this diversity so that existing access points are not unintentionally excluded from funding, policy, data, or technical assistance opportunities.</w:t>
      </w:r>
    </w:p>
    <w:p w14:paraId="5530A7C5" w14:textId="77777777" w:rsidR="00921092" w:rsidRPr="007C433B" w:rsidRDefault="00921092" w:rsidP="00921092">
      <w:pPr>
        <w:rPr>
          <w:rFonts w:ascii="Aptos" w:hAnsi="Aptos"/>
          <w:b/>
          <w:bCs/>
        </w:rPr>
      </w:pPr>
      <w:r w:rsidRPr="007C433B">
        <w:rPr>
          <w:rFonts w:ascii="Aptos" w:hAnsi="Aptos"/>
          <w:b/>
          <w:bCs/>
        </w:rPr>
        <w:t>Moving Forward</w:t>
      </w:r>
    </w:p>
    <w:p w14:paraId="46A114F8" w14:textId="77777777" w:rsidR="00921092" w:rsidRPr="007C433B" w:rsidRDefault="00921092" w:rsidP="00921092">
      <w:pPr>
        <w:rPr>
          <w:rFonts w:ascii="Aptos" w:hAnsi="Aptos"/>
        </w:rPr>
      </w:pPr>
      <w:r w:rsidRPr="007C433B">
        <w:rPr>
          <w:rFonts w:ascii="Aptos" w:hAnsi="Aptos"/>
        </w:rPr>
        <w:t>The challenges facing Connecticut’s SBHCs are interconnected. Sustainable funding and reimbursement support workforce capacity; workforce and referral capacity affect access to care; and administrative and data infrastructure influence the ability of SBHCs to operate effectively and demonstrate their value.</w:t>
      </w:r>
    </w:p>
    <w:p w14:paraId="2CAE5738" w14:textId="77777777" w:rsidR="00921092" w:rsidRPr="007C433B" w:rsidRDefault="00921092" w:rsidP="00921092">
      <w:pPr>
        <w:rPr>
          <w:rFonts w:ascii="Aptos" w:hAnsi="Aptos"/>
        </w:rPr>
      </w:pPr>
      <w:r w:rsidRPr="007C433B">
        <w:rPr>
          <w:rFonts w:ascii="Aptos" w:hAnsi="Aptos"/>
        </w:rPr>
        <w:t>Addressing these challenges will require coordinated attention to sustainable financing, Medicaid reimbursement, workforce investment, behavioral health referral capacity, data infrastructure, implementation of legislative requirements, and strong partnerships among healthcare providers, schools, state agencies, families, and communities.</w:t>
      </w:r>
    </w:p>
    <w:p w14:paraId="3754D31D" w14:textId="77777777" w:rsidR="00921092" w:rsidRPr="007C433B" w:rsidRDefault="00921092" w:rsidP="00921092">
      <w:pPr>
        <w:rPr>
          <w:rFonts w:ascii="Aptos" w:hAnsi="Aptos"/>
        </w:rPr>
      </w:pPr>
      <w:r w:rsidRPr="007C433B">
        <w:rPr>
          <w:rFonts w:ascii="Aptos" w:hAnsi="Aptos"/>
        </w:rPr>
        <w:t>The goal is to ensure that Connecticut’s SBHCs have the infrastructure and capacity to continue providing timely, accessible healthcare to students where they are—at school.</w:t>
      </w:r>
    </w:p>
    <w:p w14:paraId="5774351D" w14:textId="34F6DB2C" w:rsidR="00FB1B69" w:rsidRPr="007C433B" w:rsidRDefault="00E92501" w:rsidP="00FB1B69">
      <w:pPr>
        <w:pStyle w:val="Heading3"/>
        <w:rPr>
          <w:rFonts w:ascii="Aptos" w:hAnsi="Aptos"/>
          <w:b/>
          <w:bCs/>
          <w:color w:val="auto"/>
        </w:rPr>
      </w:pPr>
      <w:bookmarkStart w:id="10" w:name="_Toc241838548"/>
      <w:r w:rsidRPr="007C433B">
        <w:rPr>
          <w:rFonts w:ascii="Aptos" w:hAnsi="Aptos"/>
          <w:b/>
          <w:bCs/>
          <w:color w:val="auto"/>
        </w:rPr>
        <w:t>Innovations &amp; Meeting Urgent Needs</w:t>
      </w:r>
      <w:bookmarkEnd w:id="10"/>
    </w:p>
    <w:p w14:paraId="411B2BAA" w14:textId="029D4780" w:rsidR="00E92501" w:rsidRPr="007C433B" w:rsidRDefault="00E92501" w:rsidP="00E92501">
      <w:pPr>
        <w:rPr>
          <w:rFonts w:ascii="Aptos" w:hAnsi="Aptos"/>
        </w:rPr>
      </w:pPr>
      <w:r w:rsidRPr="007C433B">
        <w:rPr>
          <w:rFonts w:ascii="Aptos" w:hAnsi="Aptos"/>
        </w:rPr>
        <w:lastRenderedPageBreak/>
        <w:t xml:space="preserve">In 2026, Connecticut’s </w:t>
      </w:r>
      <w:r w:rsidR="00D44CA5" w:rsidRPr="007C433B">
        <w:rPr>
          <w:rFonts w:ascii="Aptos" w:hAnsi="Aptos"/>
        </w:rPr>
        <w:t>SBHCs</w:t>
      </w:r>
      <w:r w:rsidRPr="007C433B">
        <w:rPr>
          <w:rFonts w:ascii="Aptos" w:hAnsi="Aptos"/>
        </w:rPr>
        <w:t xml:space="preserve"> continue to </w:t>
      </w:r>
      <w:proofErr w:type="gramStart"/>
      <w:r w:rsidRPr="007C433B">
        <w:rPr>
          <w:rFonts w:ascii="Aptos" w:hAnsi="Aptos"/>
        </w:rPr>
        <w:t>adapt</w:t>
      </w:r>
      <w:proofErr w:type="gramEnd"/>
      <w:r w:rsidRPr="007C433B">
        <w:rPr>
          <w:rFonts w:ascii="Aptos" w:hAnsi="Aptos"/>
        </w:rPr>
        <w:t xml:space="preserve"> services to meet the changing health needs of children and adolescents</w:t>
      </w:r>
      <w:r w:rsidR="00556ECA" w:rsidRPr="007C433B">
        <w:rPr>
          <w:rFonts w:ascii="Aptos" w:hAnsi="Aptos"/>
        </w:rPr>
        <w:t xml:space="preserve">, which </w:t>
      </w:r>
      <w:r w:rsidRPr="007C433B">
        <w:rPr>
          <w:rFonts w:ascii="Aptos" w:hAnsi="Aptos"/>
        </w:rPr>
        <w:t>includes responding to behavioral health and substance-use concerns, healthcare workforce shortages, disparities in access, and increasingly complex student health needs.</w:t>
      </w:r>
    </w:p>
    <w:p w14:paraId="4A66F49F" w14:textId="77777777" w:rsidR="00E92501" w:rsidRPr="007C433B" w:rsidRDefault="00E92501" w:rsidP="00E92501">
      <w:pPr>
        <w:rPr>
          <w:rFonts w:ascii="Aptos" w:hAnsi="Aptos"/>
        </w:rPr>
      </w:pPr>
      <w:r w:rsidRPr="007C433B">
        <w:rPr>
          <w:rFonts w:ascii="Aptos" w:hAnsi="Aptos"/>
        </w:rPr>
        <w:t>The school-based model provides an established infrastructure for prevention, screening, early intervention, treatment, referral, and care coordination within the school community. Innovation is increasingly focused not only on what services are provided, but also on how care is identified, coordinated, financed, and shaped by the students and communities being served.</w:t>
      </w:r>
    </w:p>
    <w:p w14:paraId="6AC345C3" w14:textId="77777777" w:rsidR="00E92501" w:rsidRPr="007C433B" w:rsidRDefault="00E92501" w:rsidP="00E92501">
      <w:pPr>
        <w:rPr>
          <w:rFonts w:ascii="Aptos" w:hAnsi="Aptos"/>
          <w:b/>
          <w:bCs/>
        </w:rPr>
      </w:pPr>
      <w:r w:rsidRPr="007C433B">
        <w:rPr>
          <w:rFonts w:ascii="Aptos" w:hAnsi="Aptos"/>
          <w:b/>
          <w:bCs/>
        </w:rPr>
        <w:t>Earlier Identification and Intervention</w:t>
      </w:r>
    </w:p>
    <w:p w14:paraId="6058270D" w14:textId="77777777" w:rsidR="00E92501" w:rsidRPr="007C433B" w:rsidRDefault="00E92501" w:rsidP="00E92501">
      <w:pPr>
        <w:rPr>
          <w:rFonts w:ascii="Aptos" w:hAnsi="Aptos"/>
        </w:rPr>
      </w:pPr>
      <w:r w:rsidRPr="007C433B">
        <w:rPr>
          <w:rFonts w:ascii="Aptos" w:hAnsi="Aptos"/>
        </w:rPr>
        <w:t>School-based care creates opportunities to identify health concerns before they escalate. SBHCs are incorporating evidence-based screening and early-intervention approaches, including Screening, Brief Intervention, and Referral to Treatment (SBIRT) for substance-use risk.</w:t>
      </w:r>
    </w:p>
    <w:p w14:paraId="22723B93" w14:textId="51EC2D7B" w:rsidR="005F228B" w:rsidRPr="007C433B" w:rsidRDefault="00E92501" w:rsidP="00E92501">
      <w:pPr>
        <w:rPr>
          <w:rFonts w:ascii="Aptos" w:hAnsi="Aptos"/>
        </w:rPr>
      </w:pPr>
      <w:r w:rsidRPr="007C433B">
        <w:rPr>
          <w:rFonts w:ascii="Aptos" w:hAnsi="Aptos"/>
        </w:rPr>
        <w:t>These approaches extend beyond substance use. Providers increasingly identify behavioral health concerns, suicide risk, disordered eating, chronic health conditions, and social needs that can affect a student’s health and ability to succeed in school. Early identification also creates opportunities to connect students and families with appropriate services before needs become more complex.</w:t>
      </w:r>
    </w:p>
    <w:p w14:paraId="7492A391" w14:textId="49C840FE" w:rsidR="00E92501" w:rsidRPr="007C433B" w:rsidRDefault="00E92501" w:rsidP="00E92501">
      <w:pPr>
        <w:rPr>
          <w:rFonts w:ascii="Aptos" w:hAnsi="Aptos"/>
          <w:b/>
          <w:bCs/>
        </w:rPr>
      </w:pPr>
      <w:r w:rsidRPr="007C433B">
        <w:rPr>
          <w:rFonts w:ascii="Aptos" w:hAnsi="Aptos"/>
          <w:b/>
          <w:bCs/>
        </w:rPr>
        <w:t>Integrated Physical and Behavioral Healthcare</w:t>
      </w:r>
    </w:p>
    <w:p w14:paraId="3899F720" w14:textId="77777777" w:rsidR="00E92501" w:rsidRPr="007C433B" w:rsidRDefault="00E92501" w:rsidP="00E92501">
      <w:pPr>
        <w:rPr>
          <w:rFonts w:ascii="Aptos" w:hAnsi="Aptos"/>
        </w:rPr>
      </w:pPr>
      <w:r w:rsidRPr="007C433B">
        <w:rPr>
          <w:rFonts w:ascii="Aptos" w:hAnsi="Aptos"/>
        </w:rPr>
        <w:t>SBHCs continue to integrate medical, behavioral health, preventive, and, at many sites, oral healthcare services in an accessible school setting. This integrated approach allows providers to address the interconnected physical, behavioral, social, and environmental factors that affect student health.</w:t>
      </w:r>
    </w:p>
    <w:p w14:paraId="05AA4D70" w14:textId="77777777" w:rsidR="00E92501" w:rsidRPr="007C433B" w:rsidRDefault="00E92501" w:rsidP="00E92501">
      <w:pPr>
        <w:rPr>
          <w:rFonts w:ascii="Aptos" w:hAnsi="Aptos"/>
        </w:rPr>
      </w:pPr>
      <w:r w:rsidRPr="007C433B">
        <w:rPr>
          <w:rFonts w:ascii="Aptos" w:hAnsi="Aptos"/>
        </w:rPr>
        <w:t>Providers are also strengthening trauma-informed and culturally responsive care, interdisciplinary coordination, and connections with community-based services. Telehealth, group interventions, peer support, and other flexible approaches are helping organizations extend limited clinical resources, particularly in communities affected by provider shortages, transportation barriers, scheduling challenges, or long waits for care.</w:t>
      </w:r>
    </w:p>
    <w:p w14:paraId="716967C0" w14:textId="77777777" w:rsidR="00E92501" w:rsidRPr="007C433B" w:rsidRDefault="00E92501" w:rsidP="00E92501">
      <w:pPr>
        <w:rPr>
          <w:rFonts w:ascii="Aptos" w:hAnsi="Aptos"/>
          <w:b/>
          <w:bCs/>
        </w:rPr>
      </w:pPr>
      <w:r w:rsidRPr="007C433B">
        <w:rPr>
          <w:rFonts w:ascii="Aptos" w:hAnsi="Aptos"/>
          <w:b/>
          <w:bCs/>
        </w:rPr>
        <w:t>Medicaid and Sustainable School-Based Services</w:t>
      </w:r>
    </w:p>
    <w:p w14:paraId="73BE1513" w14:textId="77777777" w:rsidR="00E92501" w:rsidRPr="007C433B" w:rsidRDefault="00E92501" w:rsidP="00E92501">
      <w:pPr>
        <w:rPr>
          <w:rFonts w:ascii="Aptos" w:hAnsi="Aptos"/>
        </w:rPr>
      </w:pPr>
      <w:r w:rsidRPr="007C433B">
        <w:rPr>
          <w:rFonts w:ascii="Aptos" w:hAnsi="Aptos"/>
        </w:rPr>
        <w:t>Connecticut’s expansion of the Medicaid School Based Child Health Program on July 1, 2026, allows participating school districts to seek reimbursement for additional medically necessary services provided to Medicaid-eligible students, including behavioral health services, nursing, and certain screenings, evaluations, and assessments.</w:t>
      </w:r>
    </w:p>
    <w:p w14:paraId="5E3B827F" w14:textId="77777777" w:rsidR="00E92501" w:rsidRPr="007C433B" w:rsidRDefault="00E92501" w:rsidP="00E92501">
      <w:pPr>
        <w:rPr>
          <w:rFonts w:ascii="Aptos" w:hAnsi="Aptos"/>
        </w:rPr>
      </w:pPr>
      <w:r w:rsidRPr="007C433B">
        <w:rPr>
          <w:rFonts w:ascii="Aptos" w:hAnsi="Aptos"/>
        </w:rPr>
        <w:t>While this program is distinct from the DPH-funded SBHC system, the expansion reflects growing recognition of schools as important settings for healthcare delivery and creates an opportunity to examine how Medicaid can better support care provided in schools.</w:t>
      </w:r>
    </w:p>
    <w:p w14:paraId="2C0A2113" w14:textId="77777777" w:rsidR="00E92501" w:rsidRDefault="00E92501" w:rsidP="00E92501">
      <w:pPr>
        <w:rPr>
          <w:rFonts w:ascii="Aptos" w:hAnsi="Aptos"/>
        </w:rPr>
      </w:pPr>
      <w:r w:rsidRPr="007C433B">
        <w:rPr>
          <w:rFonts w:ascii="Aptos" w:hAnsi="Aptos"/>
        </w:rPr>
        <w:t xml:space="preserve">SBHC sponsoring organizations are also working to maximize appropriate third-party reimbursement and address policies that affect financial sustainability, including group billing, medical and behavioral health reimbursement, dental billing, and provider requirements. As </w:t>
      </w:r>
      <w:r w:rsidRPr="007C433B">
        <w:rPr>
          <w:rFonts w:ascii="Aptos" w:hAnsi="Aptos"/>
        </w:rPr>
        <w:lastRenderedPageBreak/>
        <w:t>clinical models evolve, reimbursement policies will need to recognize and support services such as prevention, group interventions, and integrated behavioral healthcare.</w:t>
      </w:r>
    </w:p>
    <w:p w14:paraId="1BA38EB3" w14:textId="77777777" w:rsidR="00E92501" w:rsidRPr="007C433B" w:rsidRDefault="00E92501" w:rsidP="00E92501">
      <w:pPr>
        <w:rPr>
          <w:rFonts w:ascii="Aptos" w:hAnsi="Aptos"/>
          <w:b/>
          <w:bCs/>
        </w:rPr>
      </w:pPr>
      <w:r w:rsidRPr="007C433B">
        <w:rPr>
          <w:rFonts w:ascii="Aptos" w:hAnsi="Aptos"/>
          <w:b/>
          <w:bCs/>
        </w:rPr>
        <w:t>Adolescent Healthcare and Confidentiality</w:t>
      </w:r>
    </w:p>
    <w:p w14:paraId="6CA636BA" w14:textId="7861905D" w:rsidR="00E92501" w:rsidRPr="007C433B" w:rsidRDefault="00E92501" w:rsidP="00E92501">
      <w:pPr>
        <w:rPr>
          <w:rFonts w:ascii="Aptos" w:hAnsi="Aptos"/>
        </w:rPr>
      </w:pPr>
      <w:r w:rsidRPr="007C433B">
        <w:rPr>
          <w:rFonts w:ascii="Aptos" w:hAnsi="Aptos"/>
        </w:rPr>
        <w:t xml:space="preserve">Connecticut also strengthened its statutory framework for confidential adolescent healthcare through Public Act 25-28. The law allows minors to consent to services related to pregnancy and pregnancy prevention without parental or guardian consent or notification and establishes confidentiality </w:t>
      </w:r>
      <w:r w:rsidR="007C433B" w:rsidRPr="007C433B">
        <w:rPr>
          <w:rFonts w:ascii="Aptos" w:hAnsi="Aptos"/>
        </w:rPr>
        <w:t>protection</w:t>
      </w:r>
      <w:r w:rsidRPr="007C433B">
        <w:rPr>
          <w:rFonts w:ascii="Aptos" w:hAnsi="Aptos"/>
        </w:rPr>
        <w:t>, subject to existing reporting requirements.</w:t>
      </w:r>
    </w:p>
    <w:p w14:paraId="3F8E6545" w14:textId="77777777" w:rsidR="00E92501" w:rsidRPr="007C433B" w:rsidRDefault="00E92501" w:rsidP="00E92501">
      <w:pPr>
        <w:rPr>
          <w:rFonts w:ascii="Aptos" w:hAnsi="Aptos"/>
        </w:rPr>
      </w:pPr>
      <w:r w:rsidRPr="007C433B">
        <w:rPr>
          <w:rFonts w:ascii="Aptos" w:hAnsi="Aptos"/>
        </w:rPr>
        <w:t>For SBHCs providing these services, implementation requires attention to clinical workflows, confidentiality, electronic health records, billing, staff education, and communication. Because SBHCs are accessible healthcare settings for adolescents, they are well positioned to provide medically appropriate information, counseling, prevention services, and care within these statutory protections.</w:t>
      </w:r>
    </w:p>
    <w:p w14:paraId="54CFF0E4" w14:textId="77777777" w:rsidR="00E92501" w:rsidRPr="007C433B" w:rsidRDefault="00E92501" w:rsidP="00E92501">
      <w:pPr>
        <w:rPr>
          <w:rFonts w:ascii="Aptos" w:hAnsi="Aptos"/>
          <w:b/>
          <w:bCs/>
        </w:rPr>
      </w:pPr>
      <w:r w:rsidRPr="007C433B">
        <w:rPr>
          <w:rFonts w:ascii="Aptos" w:hAnsi="Aptos"/>
          <w:b/>
          <w:bCs/>
        </w:rPr>
        <w:t>Preparing for New Screening Responsibilities</w:t>
      </w:r>
    </w:p>
    <w:p w14:paraId="48593916" w14:textId="77777777" w:rsidR="00E92501" w:rsidRPr="007C433B" w:rsidRDefault="00E92501" w:rsidP="00E92501">
      <w:pPr>
        <w:rPr>
          <w:rFonts w:ascii="Aptos" w:hAnsi="Aptos"/>
        </w:rPr>
      </w:pPr>
      <w:r w:rsidRPr="007C433B">
        <w:rPr>
          <w:rFonts w:ascii="Aptos" w:hAnsi="Aptos"/>
        </w:rPr>
        <w:t>Beginning January 1, 2027, SBHCs will be required to use an evidence-based screening tool for the early identification of disordered eating behaviors and provide screening to patients in grades 6 through 12 during annual health assessments.</w:t>
      </w:r>
    </w:p>
    <w:p w14:paraId="21EFEE2A" w14:textId="77777777" w:rsidR="00E92501" w:rsidRPr="007C433B" w:rsidRDefault="00E92501" w:rsidP="00E92501">
      <w:pPr>
        <w:rPr>
          <w:rFonts w:ascii="Aptos" w:hAnsi="Aptos"/>
        </w:rPr>
      </w:pPr>
      <w:r w:rsidRPr="007C433B">
        <w:rPr>
          <w:rFonts w:ascii="Aptos" w:hAnsi="Aptos"/>
        </w:rPr>
        <w:t>Effective implementation will require more than adding a screening tool. SBHCs will need appropriate clinical protocols, provider education, referral pathways, documentation processes, student and family resources, and access to specialized treatment when concerns are identified.</w:t>
      </w:r>
    </w:p>
    <w:p w14:paraId="0C908DB0" w14:textId="77777777" w:rsidR="00E92501" w:rsidRPr="007C433B" w:rsidRDefault="00E92501" w:rsidP="00E92501">
      <w:pPr>
        <w:rPr>
          <w:rFonts w:ascii="Aptos" w:hAnsi="Aptos"/>
          <w:b/>
          <w:bCs/>
        </w:rPr>
      </w:pPr>
      <w:r w:rsidRPr="007C433B">
        <w:rPr>
          <w:rFonts w:ascii="Aptos" w:hAnsi="Aptos"/>
          <w:b/>
          <w:bCs/>
        </w:rPr>
        <w:t>Data-Informed Planning and Youth Voice</w:t>
      </w:r>
    </w:p>
    <w:p w14:paraId="209856E8" w14:textId="77777777" w:rsidR="00E92501" w:rsidRPr="007C433B" w:rsidRDefault="00E92501" w:rsidP="00E92501">
      <w:pPr>
        <w:rPr>
          <w:rFonts w:ascii="Aptos" w:hAnsi="Aptos"/>
        </w:rPr>
      </w:pPr>
      <w:r w:rsidRPr="007C433B">
        <w:rPr>
          <w:rFonts w:ascii="Aptos" w:hAnsi="Aptos"/>
        </w:rPr>
        <w:t>Connecticut is also working to strengthen the use of data to understand and improve the SBHC system. Sponsoring organizations collect substantial clinical and operational information, while CASBHC continues efforts to strengthen statewide information about where SBHCs and Expanded School Health Sites are located, the services they provide, how they are funded, and the resources needed to sustain them.</w:t>
      </w:r>
    </w:p>
    <w:p w14:paraId="0F4ABE14" w14:textId="77777777" w:rsidR="00E92501" w:rsidRPr="007C433B" w:rsidRDefault="00E92501" w:rsidP="00E92501">
      <w:pPr>
        <w:rPr>
          <w:rFonts w:ascii="Aptos" w:hAnsi="Aptos"/>
        </w:rPr>
      </w:pPr>
      <w:r w:rsidRPr="007C433B">
        <w:rPr>
          <w:rFonts w:ascii="Aptos" w:hAnsi="Aptos"/>
        </w:rPr>
        <w:t>More reliable statewide data can help identify geographic and service gaps, understand workforce needs, demonstrate outcomes, inform appropriations, evaluate policy changes, and direct resources where needs are greatest.</w:t>
      </w:r>
    </w:p>
    <w:p w14:paraId="416AB6CB" w14:textId="77777777" w:rsidR="00E92501" w:rsidRPr="007C433B" w:rsidRDefault="00E92501" w:rsidP="00E92501">
      <w:pPr>
        <w:rPr>
          <w:rFonts w:ascii="Aptos" w:hAnsi="Aptos"/>
        </w:rPr>
      </w:pPr>
      <w:r w:rsidRPr="007C433B">
        <w:rPr>
          <w:rFonts w:ascii="Aptos" w:hAnsi="Aptos"/>
        </w:rPr>
        <w:t>At the same time, youth engagement provides information that traditional healthcare data cannot capture. Students can identify barriers related to confidentiality, stigma, accessibility, communication, cultural responsiveness, trust, and the services they are most likely to use. Incorporating youth voice into program and system planning can help ensure that school-based healthcare remains relevant and responsive to the students it serves.</w:t>
      </w:r>
    </w:p>
    <w:p w14:paraId="35F3660F" w14:textId="77777777" w:rsidR="00E92501" w:rsidRPr="007C433B" w:rsidRDefault="00E92501" w:rsidP="00E92501">
      <w:pPr>
        <w:rPr>
          <w:rFonts w:ascii="Aptos" w:hAnsi="Aptos"/>
          <w:b/>
          <w:bCs/>
        </w:rPr>
      </w:pPr>
      <w:r w:rsidRPr="007C433B">
        <w:rPr>
          <w:rFonts w:ascii="Aptos" w:hAnsi="Aptos"/>
          <w:b/>
          <w:bCs/>
        </w:rPr>
        <w:t>Innovation Through Partnership</w:t>
      </w:r>
    </w:p>
    <w:p w14:paraId="559F1EE5" w14:textId="77777777" w:rsidR="00E92501" w:rsidRPr="007C433B" w:rsidRDefault="00E92501" w:rsidP="00E92501">
      <w:pPr>
        <w:rPr>
          <w:rFonts w:ascii="Aptos" w:hAnsi="Aptos"/>
        </w:rPr>
      </w:pPr>
      <w:r w:rsidRPr="007C433B">
        <w:rPr>
          <w:rFonts w:ascii="Aptos" w:hAnsi="Aptos"/>
        </w:rPr>
        <w:t>The continued evolution of Connecticut’s SBHC system depends on collaboration across healthcare and education, including partnerships with state agencies, schools, families, community organizations, behavioral health and oral health providers, policymakers, and other stakeholders.</w:t>
      </w:r>
    </w:p>
    <w:p w14:paraId="5471220A" w14:textId="77777777" w:rsidR="00E92501" w:rsidRPr="00E92501" w:rsidRDefault="00E92501" w:rsidP="00E92501">
      <w:r w:rsidRPr="007C433B">
        <w:rPr>
          <w:rFonts w:ascii="Aptos" w:hAnsi="Aptos"/>
        </w:rPr>
        <w:lastRenderedPageBreak/>
        <w:t xml:space="preserve">CASBHC serves as a statewide convener, supporting the sharing of promising practices, professional education, identification of common challenges, and communication of emerging needs. </w:t>
      </w:r>
      <w:r w:rsidRPr="001162D4">
        <w:rPr>
          <w:rFonts w:ascii="Aptos" w:hAnsi="Aptos"/>
        </w:rPr>
        <w:t>This ability to learn across organizations allows successful approaches developed in one community to inform practice and policy across the broader network.</w:t>
      </w:r>
    </w:p>
    <w:p w14:paraId="1333B439" w14:textId="77777777" w:rsidR="00E92501" w:rsidRPr="007C433B" w:rsidRDefault="00E92501" w:rsidP="00E92501">
      <w:pPr>
        <w:rPr>
          <w:rFonts w:ascii="Aptos" w:hAnsi="Aptos"/>
          <w:b/>
          <w:bCs/>
        </w:rPr>
      </w:pPr>
      <w:r w:rsidRPr="007C433B">
        <w:rPr>
          <w:rFonts w:ascii="Aptos" w:hAnsi="Aptos"/>
          <w:b/>
          <w:bCs/>
        </w:rPr>
        <w:t>Meeting the Moment</w:t>
      </w:r>
    </w:p>
    <w:p w14:paraId="4195B956" w14:textId="77777777" w:rsidR="00E92501" w:rsidRPr="007C433B" w:rsidRDefault="00E92501" w:rsidP="00E92501">
      <w:pPr>
        <w:rPr>
          <w:rFonts w:ascii="Aptos" w:hAnsi="Aptos"/>
        </w:rPr>
      </w:pPr>
      <w:r w:rsidRPr="007C433B">
        <w:rPr>
          <w:rFonts w:ascii="Aptos" w:hAnsi="Aptos"/>
        </w:rPr>
        <w:t>Connecticut’s SBHCs demonstrate that innovation does not always require creating a new system. It can mean strengthening an existing model that already reaches students where they are.</w:t>
      </w:r>
    </w:p>
    <w:p w14:paraId="27F3EEC9" w14:textId="77777777" w:rsidR="00E92501" w:rsidRPr="007C433B" w:rsidRDefault="00E92501" w:rsidP="00E92501">
      <w:pPr>
        <w:rPr>
          <w:rFonts w:ascii="Aptos" w:hAnsi="Aptos"/>
        </w:rPr>
      </w:pPr>
      <w:r w:rsidRPr="007C433B">
        <w:rPr>
          <w:rFonts w:ascii="Aptos" w:hAnsi="Aptos"/>
        </w:rPr>
        <w:t>Through early identification, integrated care, adolescent healthcare, Medicaid innovation, data-informed planning, youth engagement, and cross-sector collaboration, SBHCs continue to evolve in response to the needs of children, adolescents, families, and school communities. Their ability to adapt while remaining rooted in those communities makes them an important component of a more accessible, preventive, equitable, and responsive system of care for young people</w:t>
      </w:r>
    </w:p>
    <w:p w14:paraId="2456C326" w14:textId="109E5707" w:rsidR="00556ECA" w:rsidRPr="007C433B" w:rsidRDefault="00770FE3" w:rsidP="00556ECA">
      <w:pPr>
        <w:pStyle w:val="Heading3"/>
        <w:rPr>
          <w:rFonts w:ascii="Aptos" w:hAnsi="Aptos"/>
          <w:b/>
          <w:bCs/>
          <w:color w:val="auto"/>
        </w:rPr>
      </w:pPr>
      <w:bookmarkStart w:id="11" w:name="_Toc241838549"/>
      <w:r w:rsidRPr="007C433B">
        <w:rPr>
          <w:rFonts w:ascii="Aptos" w:hAnsi="Aptos"/>
          <w:b/>
          <w:bCs/>
          <w:color w:val="auto"/>
        </w:rPr>
        <w:t>Partnerships</w:t>
      </w:r>
      <w:bookmarkEnd w:id="11"/>
    </w:p>
    <w:p w14:paraId="35236AFE" w14:textId="4BE23C83" w:rsidR="00FB4C6C" w:rsidRPr="007C433B" w:rsidRDefault="00FB4C6C" w:rsidP="00FB4C6C">
      <w:pPr>
        <w:rPr>
          <w:rFonts w:ascii="Aptos" w:hAnsi="Aptos"/>
        </w:rPr>
      </w:pPr>
      <w:r w:rsidRPr="007C433B">
        <w:rPr>
          <w:rFonts w:ascii="Aptos" w:hAnsi="Aptos"/>
        </w:rPr>
        <w:t>Partnership is fundamental to Connecticut’s SBHC model. At the state level, the Connecticut School-Based Health Center Advisory Committee, established under Connecticut General Statutes §19a-6i, provides a cross-sector forum to advise the Commissioner of Public Health on issues affecting school-based healthcare. The Committee brings together representatives from state agencies, SBHC providers, schools and education, healthcare, municipalities, families, and other partners. Its multidisciplinary structure provides a mechanism for identifying and addressing issues that cross traditional agency and system boundaries.</w:t>
      </w:r>
    </w:p>
    <w:p w14:paraId="2ACC4FF1" w14:textId="77777777" w:rsidR="00FB4C6C" w:rsidRPr="007C433B" w:rsidRDefault="00FB4C6C" w:rsidP="00FB4C6C">
      <w:pPr>
        <w:rPr>
          <w:rFonts w:ascii="Aptos" w:hAnsi="Aptos"/>
          <w:b/>
          <w:bCs/>
        </w:rPr>
      </w:pPr>
      <w:r w:rsidRPr="007C433B">
        <w:rPr>
          <w:rFonts w:ascii="Aptos" w:hAnsi="Aptos"/>
          <w:b/>
          <w:bCs/>
        </w:rPr>
        <w:t>Advisory Committee and Workgroups</w:t>
      </w:r>
    </w:p>
    <w:p w14:paraId="434EA7B1" w14:textId="77777777" w:rsidR="00D956CE" w:rsidRPr="007C433B" w:rsidRDefault="00D956CE" w:rsidP="00D956CE">
      <w:pPr>
        <w:rPr>
          <w:rFonts w:ascii="Aptos" w:hAnsi="Aptos"/>
        </w:rPr>
      </w:pPr>
      <w:r w:rsidRPr="007C433B">
        <w:rPr>
          <w:rFonts w:ascii="Aptos" w:hAnsi="Aptos"/>
        </w:rPr>
        <w:t>In 2026, the Advisory Committee continued to bring subject-matter experts and partners into its meetings to inform the Committee’s work and provide timely information on issues affecting SBHCs. For example, in October, Deb Poulin from CHC ACT presented on the impact of federal changes on community health centers, providing Committee members with information relevant to the broader healthcare environment in which SBHCs operate.</w:t>
      </w:r>
    </w:p>
    <w:p w14:paraId="578CF3CA" w14:textId="77777777" w:rsidR="00887A2F" w:rsidRPr="007C433B" w:rsidRDefault="00D956CE" w:rsidP="00D956CE">
      <w:pPr>
        <w:rPr>
          <w:rFonts w:ascii="Aptos" w:hAnsi="Aptos"/>
        </w:rPr>
      </w:pPr>
      <w:r w:rsidRPr="007C433B">
        <w:rPr>
          <w:rFonts w:ascii="Aptos" w:hAnsi="Aptos"/>
        </w:rPr>
        <w:t>The Committee also used two workgroups to advance priority areas of its work:</w:t>
      </w:r>
    </w:p>
    <w:p w14:paraId="1F5E51C2" w14:textId="2C6FC95E" w:rsidR="00FB4C6C" w:rsidRPr="007C433B" w:rsidRDefault="00FB4C6C" w:rsidP="00887A2F">
      <w:pPr>
        <w:pStyle w:val="ListParagraph"/>
        <w:numPr>
          <w:ilvl w:val="0"/>
          <w:numId w:val="8"/>
        </w:numPr>
        <w:rPr>
          <w:rFonts w:ascii="Aptos" w:hAnsi="Aptos"/>
        </w:rPr>
      </w:pPr>
      <w:r w:rsidRPr="007C433B">
        <w:rPr>
          <w:rFonts w:ascii="Aptos" w:hAnsi="Aptos"/>
          <w:b/>
          <w:bCs/>
        </w:rPr>
        <w:t>Action Plan Workgroup:</w:t>
      </w:r>
      <w:r w:rsidRPr="007C433B">
        <w:rPr>
          <w:rFonts w:ascii="Aptos" w:hAnsi="Aptos"/>
        </w:rPr>
        <w:t xml:space="preserve"> Developing the Advisory Committee’s action plan, including priority activities and potential partners.</w:t>
      </w:r>
    </w:p>
    <w:p w14:paraId="00733401" w14:textId="77777777" w:rsidR="00FB4C6C" w:rsidRPr="007C433B" w:rsidRDefault="00FB4C6C" w:rsidP="00FB4C6C">
      <w:pPr>
        <w:numPr>
          <w:ilvl w:val="0"/>
          <w:numId w:val="7"/>
        </w:numPr>
        <w:rPr>
          <w:rFonts w:ascii="Aptos" w:hAnsi="Aptos"/>
        </w:rPr>
      </w:pPr>
      <w:r w:rsidRPr="007C433B">
        <w:rPr>
          <w:rFonts w:ascii="Aptos" w:hAnsi="Aptos"/>
          <w:b/>
          <w:bCs/>
        </w:rPr>
        <w:t>Minimum Standards Workgroup:</w:t>
      </w:r>
      <w:r w:rsidRPr="007C433B">
        <w:rPr>
          <w:rFonts w:ascii="Aptos" w:hAnsi="Aptos"/>
        </w:rPr>
        <w:t xml:space="preserve"> Reviewing and updating the minimum standards for SBHCs and identifying recommended changes and next steps.</w:t>
      </w:r>
    </w:p>
    <w:p w14:paraId="5E9ECA80" w14:textId="0E4A4488" w:rsidR="00FB4C6C" w:rsidRPr="007C433B" w:rsidRDefault="00FB4C6C" w:rsidP="00FB4C6C">
      <w:pPr>
        <w:rPr>
          <w:rFonts w:ascii="Aptos" w:hAnsi="Aptos"/>
        </w:rPr>
      </w:pPr>
      <w:r w:rsidRPr="007C433B">
        <w:rPr>
          <w:rFonts w:ascii="Aptos" w:hAnsi="Aptos"/>
        </w:rPr>
        <w:t xml:space="preserve">The workgroups provided a focused structure for moving priorities forward and helped translate the Committee’s broad cross-sector expertise into specific action steps. </w:t>
      </w:r>
    </w:p>
    <w:p w14:paraId="0CCB7CED" w14:textId="77777777" w:rsidR="00FB4C6C" w:rsidRPr="007C433B" w:rsidRDefault="00FB4C6C" w:rsidP="00FB4C6C">
      <w:pPr>
        <w:rPr>
          <w:rFonts w:ascii="Aptos" w:hAnsi="Aptos"/>
          <w:b/>
          <w:bCs/>
        </w:rPr>
      </w:pPr>
      <w:r w:rsidRPr="007C433B">
        <w:rPr>
          <w:rFonts w:ascii="Aptos" w:hAnsi="Aptos"/>
          <w:b/>
          <w:bCs/>
        </w:rPr>
        <w:t>Partnerships Across Communities and Systems</w:t>
      </w:r>
    </w:p>
    <w:p w14:paraId="758448AA" w14:textId="77777777" w:rsidR="00FB4C6C" w:rsidRPr="007C433B" w:rsidRDefault="00FB4C6C" w:rsidP="00FB4C6C">
      <w:pPr>
        <w:rPr>
          <w:rFonts w:ascii="Aptos" w:hAnsi="Aptos"/>
        </w:rPr>
      </w:pPr>
      <w:r w:rsidRPr="007C433B">
        <w:rPr>
          <w:rFonts w:ascii="Aptos" w:hAnsi="Aptos"/>
        </w:rPr>
        <w:t xml:space="preserve">Partnership also occurs every day through the work of individual SBHCs. SBHCs collaborate with schools, local health departments, behavioral health and oral health providers, youth-serving </w:t>
      </w:r>
      <w:r w:rsidRPr="007C433B">
        <w:rPr>
          <w:rFonts w:ascii="Aptos" w:hAnsi="Aptos"/>
        </w:rPr>
        <w:lastRenderedPageBreak/>
        <w:t>organizations, family support programs, municipal agencies, and other community-based organizations.</w:t>
      </w:r>
    </w:p>
    <w:p w14:paraId="6EE4A747" w14:textId="455ACC91" w:rsidR="00FB4C6C" w:rsidRPr="007C433B" w:rsidRDefault="00FB4C6C" w:rsidP="00FB4C6C">
      <w:pPr>
        <w:rPr>
          <w:rFonts w:ascii="Aptos" w:hAnsi="Aptos"/>
        </w:rPr>
      </w:pPr>
      <w:r w:rsidRPr="007C433B">
        <w:rPr>
          <w:rFonts w:ascii="Aptos" w:hAnsi="Aptos"/>
        </w:rPr>
        <w:t xml:space="preserve">These relationships help connect students and families to services that extend beyond the care available within the SBHC, including behavioral healthcare, food and nutrition assistance, housing and social-service resources, substance-use services, family </w:t>
      </w:r>
      <w:r w:rsidR="007C433B" w:rsidRPr="007C433B">
        <w:rPr>
          <w:rFonts w:ascii="Aptos" w:hAnsi="Aptos"/>
        </w:rPr>
        <w:t>support</w:t>
      </w:r>
      <w:r w:rsidRPr="007C433B">
        <w:rPr>
          <w:rFonts w:ascii="Aptos" w:hAnsi="Aptos"/>
        </w:rPr>
        <w:t>, and youth development opportunities. They also help SBHCs respond to the broader social drivers of health affecting students and families.</w:t>
      </w:r>
    </w:p>
    <w:p w14:paraId="54F24301" w14:textId="77777777" w:rsidR="00FB4C6C" w:rsidRPr="007C433B" w:rsidRDefault="00FB4C6C" w:rsidP="00FB4C6C">
      <w:pPr>
        <w:rPr>
          <w:rFonts w:ascii="Aptos" w:hAnsi="Aptos"/>
        </w:rPr>
      </w:pPr>
      <w:r w:rsidRPr="007C433B">
        <w:rPr>
          <w:rFonts w:ascii="Aptos" w:hAnsi="Aptos"/>
        </w:rPr>
        <w:t>The relationship between an SBHC and its host school is particularly important. SBHC providers work with school nurses, counselors, social workers, administrators, educators, and student-support teams while maintaining appropriate healthcare confidentiality and professional boundaries. Collaboration can support earlier identification of student needs, coordinated responses to health and behavioral health concerns, communication with families, and access to needed services. SBHCs also maintain connections with hospitals, community health centers, specialty providers, and other healthcare organizations to support referrals and continuity of care when needs extend beyond services available at school.</w:t>
      </w:r>
    </w:p>
    <w:p w14:paraId="6D017313" w14:textId="77777777" w:rsidR="00FB4C6C" w:rsidRPr="007C433B" w:rsidRDefault="00FB4C6C" w:rsidP="00FB4C6C">
      <w:pPr>
        <w:rPr>
          <w:rFonts w:ascii="Aptos" w:hAnsi="Aptos"/>
          <w:b/>
          <w:bCs/>
        </w:rPr>
      </w:pPr>
      <w:r w:rsidRPr="007C433B">
        <w:rPr>
          <w:rFonts w:ascii="Aptos" w:hAnsi="Aptos"/>
          <w:b/>
          <w:bCs/>
        </w:rPr>
        <w:t>Community and Family Engagement</w:t>
      </w:r>
    </w:p>
    <w:p w14:paraId="6BA88773" w14:textId="77777777" w:rsidR="00FB4C6C" w:rsidRPr="007C433B" w:rsidRDefault="00FB4C6C" w:rsidP="00FB4C6C">
      <w:pPr>
        <w:rPr>
          <w:rFonts w:ascii="Aptos" w:hAnsi="Aptos"/>
        </w:rPr>
      </w:pPr>
      <w:r w:rsidRPr="007C433B">
        <w:rPr>
          <w:rFonts w:ascii="Aptos" w:hAnsi="Aptos"/>
        </w:rPr>
        <w:t>Local advisory structures provide another avenue for partnership. DPH-funded SBHC programs maintain opportunities for community stakeholders—including healthcare providers, school representatives, families, students, and community organizations—to participate in program planning, implementation, evaluation, quality improvement, and identification of emerging needs. Youth and family perspectives are particularly valuable in understanding barriers related to access, confidentiality, communication, stigma, and service needs.</w:t>
      </w:r>
    </w:p>
    <w:p w14:paraId="3B61482E" w14:textId="77777777" w:rsidR="00FB4C6C" w:rsidRPr="007C433B" w:rsidRDefault="00FB4C6C" w:rsidP="00FB4C6C">
      <w:pPr>
        <w:rPr>
          <w:rFonts w:ascii="Aptos" w:hAnsi="Aptos"/>
        </w:rPr>
      </w:pPr>
      <w:r w:rsidRPr="007C433B">
        <w:rPr>
          <w:rFonts w:ascii="Aptos" w:hAnsi="Aptos"/>
        </w:rPr>
        <w:t>At the statewide level, the Connecticut Association of School Based Health Centers (CASBHC) complements the work of the statutory Advisory Committee by convening the broader SBHC community and connecting SBHCs with state agencies, healthcare and behavioral health organizations, education partners, community organizations, and other statewide and national partners. CASBHC’s participation in councils, committees, task forces, and workgroups also helps ensure that the perspective of school-based healthcare is represented in broader discussions affecting children and adolescents.</w:t>
      </w:r>
    </w:p>
    <w:p w14:paraId="1E1ADADD" w14:textId="77777777" w:rsidR="00FB4C6C" w:rsidRPr="007C433B" w:rsidRDefault="00FB4C6C" w:rsidP="00FB4C6C">
      <w:pPr>
        <w:rPr>
          <w:rFonts w:ascii="Aptos" w:hAnsi="Aptos"/>
          <w:b/>
          <w:bCs/>
        </w:rPr>
      </w:pPr>
      <w:r w:rsidRPr="007C433B">
        <w:rPr>
          <w:rFonts w:ascii="Aptos" w:hAnsi="Aptos"/>
          <w:b/>
          <w:bCs/>
        </w:rPr>
        <w:t>Supporting Coordination and System Integration</w:t>
      </w:r>
    </w:p>
    <w:p w14:paraId="074B1513" w14:textId="77777777" w:rsidR="00FB4C6C" w:rsidRPr="007C433B" w:rsidRDefault="00FB4C6C" w:rsidP="00FB4C6C">
      <w:pPr>
        <w:rPr>
          <w:rFonts w:ascii="Aptos" w:hAnsi="Aptos"/>
        </w:rPr>
      </w:pPr>
      <w:r w:rsidRPr="007C433B">
        <w:rPr>
          <w:rFonts w:ascii="Aptos" w:hAnsi="Aptos"/>
        </w:rPr>
        <w:t>Partnerships also support provider education, referrals, and coordination across systems. CASBHC and its partners provide opportunities for SBHC providers and professionals from healthcare, behavioral health, oral health, public health, education, government, and community organizations to share expertise and strengthen connections between school-based and community-based services.</w:t>
      </w:r>
    </w:p>
    <w:p w14:paraId="1A6203EC" w14:textId="60A0842C" w:rsidR="00FB4C6C" w:rsidRDefault="00FB4C6C" w:rsidP="00FB4C6C">
      <w:pPr>
        <w:rPr>
          <w:rFonts w:ascii="Aptos" w:hAnsi="Aptos"/>
        </w:rPr>
      </w:pPr>
      <w:r w:rsidRPr="007C433B">
        <w:rPr>
          <w:rFonts w:ascii="Aptos" w:hAnsi="Aptos"/>
        </w:rPr>
        <w:t xml:space="preserve">SBHC leaders and sponsoring organizations also work with state agencies on issues that directly affect the delivery and sustainability of school-based healthcare, including Medicaid reimbursement, SBHC funding and standards, data, statutory requirements, behavioral health, education, and workforce needs. Engagement with policymakers provides an additional </w:t>
      </w:r>
      <w:r w:rsidRPr="007C433B">
        <w:rPr>
          <w:rFonts w:ascii="Aptos" w:hAnsi="Aptos"/>
        </w:rPr>
        <w:lastRenderedPageBreak/>
        <w:t>opportunity for frontline providers and sponsoring organizations to share information about student health needs, operational challenges, and the impact of policy decisions on services.</w:t>
      </w:r>
    </w:p>
    <w:p w14:paraId="77533F6A" w14:textId="77777777" w:rsidR="007C433B" w:rsidRPr="007C433B" w:rsidRDefault="007C433B" w:rsidP="00FB4C6C">
      <w:pPr>
        <w:rPr>
          <w:rFonts w:ascii="Aptos" w:hAnsi="Aptos"/>
        </w:rPr>
      </w:pPr>
    </w:p>
    <w:p w14:paraId="283D70ED" w14:textId="13791682" w:rsidR="00887A2F" w:rsidRPr="007C433B" w:rsidRDefault="005D3288" w:rsidP="00887A2F">
      <w:pPr>
        <w:pStyle w:val="Heading3"/>
        <w:rPr>
          <w:rFonts w:ascii="Aptos" w:hAnsi="Aptos"/>
          <w:b/>
          <w:bCs/>
          <w:color w:val="auto"/>
        </w:rPr>
      </w:pPr>
      <w:bookmarkStart w:id="12" w:name="_Toc241838550"/>
      <w:r w:rsidRPr="007C433B">
        <w:rPr>
          <w:rFonts w:ascii="Aptos" w:hAnsi="Aptos"/>
          <w:b/>
          <w:bCs/>
          <w:color w:val="auto"/>
        </w:rPr>
        <w:t>Recommendations</w:t>
      </w:r>
      <w:bookmarkEnd w:id="12"/>
    </w:p>
    <w:p w14:paraId="2CB38122" w14:textId="77777777" w:rsidR="005D3288" w:rsidRPr="007C433B" w:rsidRDefault="005D3288" w:rsidP="005D3288">
      <w:pPr>
        <w:rPr>
          <w:rFonts w:ascii="Aptos" w:hAnsi="Aptos"/>
        </w:rPr>
      </w:pPr>
      <w:r w:rsidRPr="007C433B">
        <w:rPr>
          <w:rFonts w:ascii="Aptos" w:hAnsi="Aptos"/>
        </w:rPr>
        <w:t>SBHCs and Expanded School Health Sites are an important part of Connecticut’s healthcare, behavioral health, public health, and education infrastructure. Sustaining and strengthening this infrastructure will require coordinated action across state agencies, SBHC sponsoring organizations, schools, healthcare providers, and community partners.</w:t>
      </w:r>
    </w:p>
    <w:p w14:paraId="7D6DCD04" w14:textId="77777777" w:rsidR="005D3288" w:rsidRPr="007C433B" w:rsidRDefault="005D3288" w:rsidP="005D3288">
      <w:pPr>
        <w:rPr>
          <w:rFonts w:ascii="Aptos" w:hAnsi="Aptos"/>
          <w:b/>
          <w:bCs/>
        </w:rPr>
      </w:pPr>
      <w:r w:rsidRPr="007C433B">
        <w:rPr>
          <w:rFonts w:ascii="Aptos" w:hAnsi="Aptos"/>
          <w:b/>
          <w:bCs/>
        </w:rPr>
        <w:t>1. Establish a Sustainable Statewide Financing Strategy</w:t>
      </w:r>
    </w:p>
    <w:p w14:paraId="785F0038" w14:textId="77777777" w:rsidR="005D3288" w:rsidRPr="007C433B" w:rsidRDefault="005D3288" w:rsidP="005D3288">
      <w:pPr>
        <w:rPr>
          <w:rFonts w:ascii="Aptos" w:hAnsi="Aptos"/>
        </w:rPr>
      </w:pPr>
      <w:r w:rsidRPr="007C433B">
        <w:rPr>
          <w:rFonts w:ascii="Aptos" w:hAnsi="Aptos"/>
        </w:rPr>
        <w:t>Connecticut needs a stable, predictable, and equitable financing strategy for its SBHC system.</w:t>
      </w:r>
    </w:p>
    <w:p w14:paraId="6F986897" w14:textId="77777777" w:rsidR="005D3288" w:rsidRPr="007C433B" w:rsidRDefault="005D3288" w:rsidP="005D3288">
      <w:pPr>
        <w:rPr>
          <w:rFonts w:ascii="Aptos" w:hAnsi="Aptos"/>
        </w:rPr>
      </w:pPr>
      <w:r w:rsidRPr="007C433B">
        <w:rPr>
          <w:rFonts w:ascii="Aptos" w:hAnsi="Aptos"/>
        </w:rPr>
        <w:t>SBHCs currently rely on a combination of state appropriations, Medicaid and commercial insurance reimbursement, sponsoring-organization support, grants, and other funding sources. The availability and proportion of these resources vary among sponsoring organizations and sites, making long-term planning and sustainability difficult.</w:t>
      </w:r>
    </w:p>
    <w:p w14:paraId="44F1599F" w14:textId="77777777" w:rsidR="005D3288" w:rsidRPr="007C433B" w:rsidRDefault="005D3288" w:rsidP="005D3288">
      <w:pPr>
        <w:rPr>
          <w:rFonts w:ascii="Aptos" w:hAnsi="Aptos"/>
        </w:rPr>
      </w:pPr>
      <w:r w:rsidRPr="007C433B">
        <w:rPr>
          <w:rFonts w:ascii="Aptos" w:hAnsi="Aptos"/>
        </w:rPr>
        <w:t>DPH should work with SBHC sponsoring organizations, CASBHC, DSS, and other appropriate partners to better understand the actual costs of operating and sustaining SBHCs and Expanded School Health Sites and use this information to inform future appropriations and funding methodologies. Funding considerations should account for differences in service models, populations served, geography, staffing, utilization, third-party reimbursement, and community need.</w:t>
      </w:r>
    </w:p>
    <w:p w14:paraId="7A0810D5" w14:textId="77777777" w:rsidR="005D3288" w:rsidRPr="007C433B" w:rsidRDefault="005D3288" w:rsidP="005D3288">
      <w:pPr>
        <w:rPr>
          <w:rFonts w:ascii="Aptos" w:hAnsi="Aptos"/>
        </w:rPr>
      </w:pPr>
      <w:r w:rsidRPr="007C433B">
        <w:rPr>
          <w:rFonts w:ascii="Aptos" w:hAnsi="Aptos"/>
        </w:rPr>
        <w:t>The long-term goal should be to move from addressing individual funding gaps toward maintaining a sustainable statewide school-based healthcare infrastructure.</w:t>
      </w:r>
    </w:p>
    <w:p w14:paraId="227AC70C" w14:textId="77777777" w:rsidR="005D3288" w:rsidRPr="007C433B" w:rsidRDefault="005D3288" w:rsidP="005D3288">
      <w:pPr>
        <w:rPr>
          <w:rFonts w:ascii="Aptos" w:hAnsi="Aptos"/>
          <w:b/>
          <w:bCs/>
        </w:rPr>
      </w:pPr>
      <w:r w:rsidRPr="007C433B">
        <w:rPr>
          <w:rFonts w:ascii="Aptos" w:hAnsi="Aptos"/>
          <w:b/>
          <w:bCs/>
        </w:rPr>
        <w:t>2. Modernize Medicaid Reimbursement for School-Based Healthcare</w:t>
      </w:r>
    </w:p>
    <w:p w14:paraId="5B32E103" w14:textId="77777777" w:rsidR="005D3288" w:rsidRPr="007C433B" w:rsidRDefault="005D3288" w:rsidP="005D3288">
      <w:pPr>
        <w:rPr>
          <w:rFonts w:ascii="Aptos" w:hAnsi="Aptos"/>
        </w:rPr>
      </w:pPr>
      <w:r w:rsidRPr="007C433B">
        <w:rPr>
          <w:rFonts w:ascii="Aptos" w:hAnsi="Aptos"/>
        </w:rPr>
        <w:t>DPH and DSS should continue identifying opportunities to maximize appropriate Medicaid reimbursement and reduce administrative barriers affecting school-based healthcare.</w:t>
      </w:r>
    </w:p>
    <w:p w14:paraId="49EF1F22" w14:textId="77777777" w:rsidR="005D3288" w:rsidRPr="007C433B" w:rsidRDefault="005D3288" w:rsidP="005D3288">
      <w:pPr>
        <w:rPr>
          <w:rFonts w:ascii="Aptos" w:hAnsi="Aptos"/>
        </w:rPr>
      </w:pPr>
      <w:r w:rsidRPr="007C433B">
        <w:rPr>
          <w:rFonts w:ascii="Aptos" w:hAnsi="Aptos"/>
        </w:rPr>
        <w:t>Areas for continued examination include medical and behavioral health reimbursement rates, group billing structures, provider enrollment and credentialing, dental reimbursement, preventive services, care coordination, and other policies that may not fully reflect how healthcare is delivered in schools.</w:t>
      </w:r>
    </w:p>
    <w:p w14:paraId="758A3C88" w14:textId="77777777" w:rsidR="005D3288" w:rsidRPr="007C433B" w:rsidRDefault="005D3288" w:rsidP="005D3288">
      <w:pPr>
        <w:rPr>
          <w:rFonts w:ascii="Aptos" w:hAnsi="Aptos"/>
        </w:rPr>
      </w:pPr>
      <w:r w:rsidRPr="007C433B">
        <w:rPr>
          <w:rFonts w:ascii="Aptos" w:hAnsi="Aptos"/>
        </w:rPr>
        <w:t>Connecticut’s 2026 expansion of the Medicaid School Based Child Health Program also provides an opportunity to examine how Medicaid financing can more effectively support services delivered to children and adolescents in educational settings. Reimbursement policies should support, rather than inadvertently discourage, prevention, early intervention, integrated care, and appropriate group services.</w:t>
      </w:r>
    </w:p>
    <w:p w14:paraId="53411DCC" w14:textId="77777777" w:rsidR="005D3288" w:rsidRPr="007C433B" w:rsidRDefault="005D3288" w:rsidP="005D3288">
      <w:pPr>
        <w:rPr>
          <w:rFonts w:ascii="Aptos" w:hAnsi="Aptos"/>
          <w:b/>
          <w:bCs/>
        </w:rPr>
      </w:pPr>
      <w:r w:rsidRPr="007C433B">
        <w:rPr>
          <w:rFonts w:ascii="Aptos" w:hAnsi="Aptos"/>
          <w:b/>
          <w:bCs/>
        </w:rPr>
        <w:t>3. Develop a Statewide School-Based Healthcare Workforce Strategy</w:t>
      </w:r>
    </w:p>
    <w:p w14:paraId="042106A3" w14:textId="77777777" w:rsidR="005D3288" w:rsidRPr="007C433B" w:rsidRDefault="005D3288" w:rsidP="005D3288">
      <w:pPr>
        <w:rPr>
          <w:rFonts w:ascii="Aptos" w:hAnsi="Aptos"/>
        </w:rPr>
      </w:pPr>
      <w:r w:rsidRPr="007C433B">
        <w:rPr>
          <w:rFonts w:ascii="Aptos" w:hAnsi="Aptos"/>
        </w:rPr>
        <w:lastRenderedPageBreak/>
        <w:t>Connecticut should invest in the recruitment, development, and retention of the workforce needed to provide school-based healthcare.</w:t>
      </w:r>
    </w:p>
    <w:p w14:paraId="0208416F" w14:textId="77777777" w:rsidR="005D3288" w:rsidRPr="007C433B" w:rsidRDefault="005D3288" w:rsidP="005D3288">
      <w:pPr>
        <w:rPr>
          <w:rFonts w:ascii="Aptos" w:hAnsi="Aptos"/>
        </w:rPr>
      </w:pPr>
      <w:r w:rsidRPr="007C433B">
        <w:rPr>
          <w:rFonts w:ascii="Aptos" w:hAnsi="Aptos"/>
        </w:rPr>
        <w:t>SBHC sponsoring organizations continue to face challenges recruiting behavioral health clinicians, medical providers, dental professionals, and other specialized staff, particularly in rural and underserved communities. A statewide workforce strategy should explore partnerships with colleges, universities, professional schools, residency and training programs, and workforce-development organizations to strengthen pipelines into school-based healthcare.</w:t>
      </w:r>
    </w:p>
    <w:p w14:paraId="11C2E4DE" w14:textId="77777777" w:rsidR="005D3288" w:rsidRPr="007C433B" w:rsidRDefault="005D3288" w:rsidP="005D3288">
      <w:pPr>
        <w:rPr>
          <w:rFonts w:ascii="Aptos" w:hAnsi="Aptos"/>
        </w:rPr>
      </w:pPr>
      <w:r w:rsidRPr="007C433B">
        <w:rPr>
          <w:rFonts w:ascii="Aptos" w:hAnsi="Aptos"/>
        </w:rPr>
        <w:t>Potential strategies include loan repayment and recruitment incentives, internships and clinical placements, professional development, clinical supervision, and retention initiatives. Workforce planning should also address provider wellness and administrative burden. Expanding access to school-based healthcare requires investment in the professionals who provide that care.</w:t>
      </w:r>
    </w:p>
    <w:p w14:paraId="7CD2CC33" w14:textId="77777777" w:rsidR="005D3288" w:rsidRPr="007C433B" w:rsidRDefault="005D3288" w:rsidP="005D3288">
      <w:pPr>
        <w:rPr>
          <w:rFonts w:ascii="Aptos" w:hAnsi="Aptos"/>
          <w:b/>
          <w:bCs/>
        </w:rPr>
      </w:pPr>
      <w:r w:rsidRPr="007C433B">
        <w:rPr>
          <w:rFonts w:ascii="Aptos" w:hAnsi="Aptos"/>
          <w:b/>
          <w:bCs/>
        </w:rPr>
        <w:t>4. Strengthen the Children’s Behavioral Health Continuum</w:t>
      </w:r>
    </w:p>
    <w:p w14:paraId="3DF0B02C" w14:textId="77777777" w:rsidR="005D3288" w:rsidRPr="007C433B" w:rsidRDefault="005D3288" w:rsidP="005D3288">
      <w:pPr>
        <w:rPr>
          <w:rFonts w:ascii="Aptos" w:hAnsi="Aptos"/>
        </w:rPr>
      </w:pPr>
      <w:r w:rsidRPr="007C433B">
        <w:rPr>
          <w:rFonts w:ascii="Aptos" w:hAnsi="Aptos"/>
        </w:rPr>
        <w:t>SBHCs should continue to be supported in providing prevention, screening, early identification, brief intervention, treatment, referral, and care coordination for behavioral health and substance-use concerns.</w:t>
      </w:r>
    </w:p>
    <w:p w14:paraId="55A35456" w14:textId="77777777" w:rsidR="005D3288" w:rsidRPr="007C433B" w:rsidRDefault="005D3288" w:rsidP="005D3288">
      <w:pPr>
        <w:rPr>
          <w:rFonts w:ascii="Aptos" w:hAnsi="Aptos"/>
        </w:rPr>
      </w:pPr>
      <w:r w:rsidRPr="007C433B">
        <w:rPr>
          <w:rFonts w:ascii="Aptos" w:hAnsi="Aptos"/>
        </w:rPr>
        <w:t>Because SBHC providers are located where students spend much of their day, they are often well positioned to identify concerns early. The effectiveness of early identification, however, depends on the availability of appropriate services when a student’s needs extend beyond the scope of the SBHC.</w:t>
      </w:r>
    </w:p>
    <w:p w14:paraId="75E7449A" w14:textId="77777777" w:rsidR="005D3288" w:rsidRPr="007C433B" w:rsidRDefault="005D3288" w:rsidP="005D3288">
      <w:pPr>
        <w:rPr>
          <w:rFonts w:ascii="Aptos" w:hAnsi="Aptos"/>
        </w:rPr>
      </w:pPr>
      <w:r w:rsidRPr="007C433B">
        <w:rPr>
          <w:rFonts w:ascii="Aptos" w:hAnsi="Aptos"/>
        </w:rPr>
        <w:t>DPH should work with DCF, DMHAS, community behavioral health providers, hospitals, crisis services, and other partners to strengthen referral pathways and coordination across the children’s behavioral health system. Continued support should also be considered for approaches such as SBIRT, brief interventions, integrated behavioral healthcare, appropriate group treatment models, tele-behavioral health, suicide prevention, and care coordination.</w:t>
      </w:r>
    </w:p>
    <w:p w14:paraId="443FAE39" w14:textId="77777777" w:rsidR="005D3288" w:rsidRPr="007C433B" w:rsidRDefault="005D3288" w:rsidP="005D3288">
      <w:pPr>
        <w:rPr>
          <w:rFonts w:ascii="Aptos" w:hAnsi="Aptos"/>
        </w:rPr>
      </w:pPr>
      <w:r w:rsidRPr="007C433B">
        <w:rPr>
          <w:rFonts w:ascii="Aptos" w:hAnsi="Aptos"/>
        </w:rPr>
        <w:t>The goal should be a continuum in which SBHCs can identify a student’s needs and reliably connect students and families to the appropriate level of care.</w:t>
      </w:r>
    </w:p>
    <w:p w14:paraId="5A0B984C" w14:textId="77777777" w:rsidR="005D3288" w:rsidRPr="007C433B" w:rsidRDefault="005D3288" w:rsidP="005D3288">
      <w:pPr>
        <w:rPr>
          <w:rFonts w:ascii="Aptos" w:hAnsi="Aptos"/>
          <w:b/>
          <w:bCs/>
        </w:rPr>
      </w:pPr>
      <w:r w:rsidRPr="007C433B">
        <w:rPr>
          <w:rFonts w:ascii="Aptos" w:hAnsi="Aptos"/>
          <w:b/>
          <w:bCs/>
        </w:rPr>
        <w:t>5. Support Implementation of New Clinical Requirements</w:t>
      </w:r>
    </w:p>
    <w:p w14:paraId="09DE826A" w14:textId="77777777" w:rsidR="005D3288" w:rsidRPr="007C433B" w:rsidRDefault="005D3288" w:rsidP="005D3288">
      <w:pPr>
        <w:rPr>
          <w:rFonts w:ascii="Aptos" w:hAnsi="Aptos"/>
        </w:rPr>
      </w:pPr>
      <w:r w:rsidRPr="007C433B">
        <w:rPr>
          <w:rFonts w:ascii="Aptos" w:hAnsi="Aptos"/>
        </w:rPr>
        <w:t>As Connecticut establishes new healthcare requirements for SBHCs, implementation should include the resources and infrastructure necessary to carry them out successfully.</w:t>
      </w:r>
    </w:p>
    <w:p w14:paraId="383DD814" w14:textId="77777777" w:rsidR="005D3288" w:rsidRPr="007C433B" w:rsidRDefault="005D3288" w:rsidP="005D3288">
      <w:pPr>
        <w:rPr>
          <w:rFonts w:ascii="Aptos" w:hAnsi="Aptos"/>
        </w:rPr>
      </w:pPr>
      <w:r w:rsidRPr="007C433B">
        <w:rPr>
          <w:rFonts w:ascii="Aptos" w:hAnsi="Aptos"/>
        </w:rPr>
        <w:t>Beginning January 1, 2027, SBHCs will have new responsibilities related to evidence-based screening for disordered eating among patients in grades 6 through 12 during annual health assessments. Implementation should include statewide guidance, provider education, appropriate screening tools, clinical and documentation protocols, referral resources, and consideration of the staff time and financial resources required for screening and follow-up.</w:t>
      </w:r>
    </w:p>
    <w:p w14:paraId="37973A41" w14:textId="77777777" w:rsidR="005D3288" w:rsidRPr="007C433B" w:rsidRDefault="005D3288" w:rsidP="005D3288">
      <w:pPr>
        <w:rPr>
          <w:rFonts w:ascii="Aptos" w:hAnsi="Aptos"/>
        </w:rPr>
      </w:pPr>
      <w:r w:rsidRPr="007C433B">
        <w:rPr>
          <w:rFonts w:ascii="Aptos" w:hAnsi="Aptos"/>
        </w:rPr>
        <w:t>More broadly, future legislation or regulations creating additional responsibilities for SBHCs should include consideration of the fiscal, workforce, administrative, training, referral, and infrastructure implications for sponsoring organizations.</w:t>
      </w:r>
    </w:p>
    <w:p w14:paraId="3FA291ED" w14:textId="77777777" w:rsidR="005D3288" w:rsidRPr="007C433B" w:rsidRDefault="005D3288" w:rsidP="005D3288">
      <w:pPr>
        <w:rPr>
          <w:rFonts w:ascii="Aptos" w:hAnsi="Aptos"/>
          <w:b/>
          <w:bCs/>
        </w:rPr>
      </w:pPr>
      <w:r w:rsidRPr="007C433B">
        <w:rPr>
          <w:rFonts w:ascii="Aptos" w:hAnsi="Aptos"/>
          <w:b/>
          <w:bCs/>
        </w:rPr>
        <w:t>6. Ensure Sustainable Access to Confidential Adolescent Healthcare</w:t>
      </w:r>
    </w:p>
    <w:p w14:paraId="5AC5016B" w14:textId="77777777" w:rsidR="005D3288" w:rsidRPr="007C433B" w:rsidRDefault="005D3288" w:rsidP="005D3288">
      <w:pPr>
        <w:rPr>
          <w:rFonts w:ascii="Aptos" w:hAnsi="Aptos"/>
        </w:rPr>
      </w:pPr>
      <w:r w:rsidRPr="007C433B">
        <w:rPr>
          <w:rFonts w:ascii="Aptos" w:hAnsi="Aptos"/>
        </w:rPr>
        <w:lastRenderedPageBreak/>
        <w:t xml:space="preserve">Connecticut should continue supporting implementation of the confidential adolescent healthcare protections established under Public Act 25-28, </w:t>
      </w:r>
      <w:r w:rsidRPr="007C433B">
        <w:rPr>
          <w:rFonts w:ascii="Aptos" w:hAnsi="Aptos"/>
          <w:i/>
          <w:iCs/>
        </w:rPr>
        <w:t>An Act Concerning Access to Reproductive Health Care</w:t>
      </w:r>
      <w:r w:rsidRPr="007C433B">
        <w:rPr>
          <w:rFonts w:ascii="Aptos" w:hAnsi="Aptos"/>
        </w:rPr>
        <w:t>.</w:t>
      </w:r>
    </w:p>
    <w:p w14:paraId="52D45B48" w14:textId="77777777" w:rsidR="005D3288" w:rsidRPr="007C433B" w:rsidRDefault="005D3288" w:rsidP="005D3288">
      <w:pPr>
        <w:rPr>
          <w:rFonts w:ascii="Aptos" w:hAnsi="Aptos"/>
        </w:rPr>
      </w:pPr>
      <w:r w:rsidRPr="007C433B">
        <w:rPr>
          <w:rFonts w:ascii="Aptos" w:hAnsi="Aptos"/>
        </w:rPr>
        <w:t>For SBHCs providing pregnancy and pregnancy-prevention services, DPH should work with appropriate state agencies and healthcare stakeholders to support consistent understanding of confidentiality requirements, clinical protocols, documentation, electronic health records, billing practices, and staff training.</w:t>
      </w:r>
    </w:p>
    <w:p w14:paraId="37BECB33" w14:textId="77777777" w:rsidR="005D3288" w:rsidRPr="007C433B" w:rsidRDefault="005D3288" w:rsidP="005D3288">
      <w:pPr>
        <w:rPr>
          <w:rFonts w:ascii="Aptos" w:hAnsi="Aptos"/>
        </w:rPr>
      </w:pPr>
      <w:r w:rsidRPr="007C433B">
        <w:rPr>
          <w:rFonts w:ascii="Aptos" w:hAnsi="Aptos"/>
        </w:rPr>
        <w:t>The financial implications of confidential care should also be addressed. Where confidentiality requirements prevent or complicate traditional third-party billing, Connecticut should identify sustainable mechanisms for supporting appropriately provided confidential services so that the financial burden does not fall solely on SBHC sponsoring organizations.</w:t>
      </w:r>
    </w:p>
    <w:p w14:paraId="2D86288A" w14:textId="77777777" w:rsidR="005D3288" w:rsidRPr="007C433B" w:rsidRDefault="005D3288" w:rsidP="005D3288">
      <w:pPr>
        <w:rPr>
          <w:rFonts w:ascii="Aptos" w:hAnsi="Aptos"/>
        </w:rPr>
      </w:pPr>
      <w:r w:rsidRPr="007C433B">
        <w:rPr>
          <w:rFonts w:ascii="Aptos" w:hAnsi="Aptos"/>
        </w:rPr>
        <w:t>Access established in law must also be operationally and financially feasible to provide in practice.</w:t>
      </w:r>
    </w:p>
    <w:p w14:paraId="0ECDF4C7" w14:textId="77777777" w:rsidR="005D3288" w:rsidRPr="007C433B" w:rsidRDefault="005D3288" w:rsidP="005D3288">
      <w:pPr>
        <w:rPr>
          <w:rFonts w:ascii="Aptos" w:hAnsi="Aptos"/>
          <w:b/>
          <w:bCs/>
        </w:rPr>
      </w:pPr>
      <w:r w:rsidRPr="007C433B">
        <w:rPr>
          <w:rFonts w:ascii="Aptos" w:hAnsi="Aptos"/>
          <w:b/>
          <w:bCs/>
        </w:rPr>
        <w:t>7. Build a Sustainable Statewide SBHC Data Infrastructure</w:t>
      </w:r>
    </w:p>
    <w:p w14:paraId="0E342414" w14:textId="77777777" w:rsidR="005D3288" w:rsidRPr="007C433B" w:rsidRDefault="005D3288" w:rsidP="005D3288">
      <w:pPr>
        <w:rPr>
          <w:rFonts w:ascii="Aptos" w:hAnsi="Aptos"/>
        </w:rPr>
      </w:pPr>
      <w:r w:rsidRPr="007C433B">
        <w:rPr>
          <w:rFonts w:ascii="Aptos" w:hAnsi="Aptos"/>
        </w:rPr>
        <w:t>Connecticut needs a coordinated statewide approach to SBHC data collection, maintenance, analysis, and reporting.</w:t>
      </w:r>
    </w:p>
    <w:p w14:paraId="0158C612" w14:textId="77777777" w:rsidR="005D3288" w:rsidRPr="007C433B" w:rsidRDefault="005D3288" w:rsidP="005D3288">
      <w:pPr>
        <w:rPr>
          <w:rFonts w:ascii="Aptos" w:hAnsi="Aptos"/>
        </w:rPr>
      </w:pPr>
      <w:r w:rsidRPr="007C433B">
        <w:rPr>
          <w:rFonts w:ascii="Aptos" w:hAnsi="Aptos"/>
        </w:rPr>
        <w:t>Reliable information is needed regarding SBHC and Expanded School Health Site locations, sponsoring organizations, services, hours, populations served, utilization, funding sources, workforce capacity, and the resources required to sustain individual sites. The state should also strengthen its ability to measure appropriate outcomes related to healthcare access, prevention, behavioral health, chronic disease, health equity, attendance, and other areas.</w:t>
      </w:r>
    </w:p>
    <w:p w14:paraId="45B359DC" w14:textId="77777777" w:rsidR="005D3288" w:rsidRPr="007C433B" w:rsidRDefault="005D3288" w:rsidP="005D3288">
      <w:pPr>
        <w:rPr>
          <w:rFonts w:ascii="Aptos" w:hAnsi="Aptos"/>
        </w:rPr>
      </w:pPr>
      <w:r w:rsidRPr="007C433B">
        <w:rPr>
          <w:rFonts w:ascii="Aptos" w:hAnsi="Aptos"/>
        </w:rPr>
        <w:t>Rather than requiring sponsoring organizations to respond independently to duplicative information requests, DPH should explore a formal partnership with CASBHC to support statewide data collection, verification, maintenance, analysis, and reporting. Such a partnership should establish clear deliverables, data-governance standards, responsibilities, reporting expectations, and appropriate compensation.</w:t>
      </w:r>
    </w:p>
    <w:p w14:paraId="0C8B250B" w14:textId="77777777" w:rsidR="005D3288" w:rsidRPr="007C433B" w:rsidRDefault="005D3288" w:rsidP="005D3288">
      <w:pPr>
        <w:rPr>
          <w:rFonts w:ascii="Aptos" w:hAnsi="Aptos"/>
          <w:b/>
          <w:bCs/>
        </w:rPr>
      </w:pPr>
      <w:r w:rsidRPr="007C433B">
        <w:rPr>
          <w:rFonts w:ascii="Aptos" w:hAnsi="Aptos"/>
          <w:b/>
          <w:bCs/>
        </w:rPr>
        <w:t>8. Protect Connecticut’s Full Continuum of School-Based Healthcare Models</w:t>
      </w:r>
    </w:p>
    <w:p w14:paraId="5118C6F3" w14:textId="77777777" w:rsidR="005D3288" w:rsidRPr="007C433B" w:rsidRDefault="005D3288" w:rsidP="005D3288">
      <w:pPr>
        <w:rPr>
          <w:rFonts w:ascii="Aptos" w:hAnsi="Aptos"/>
        </w:rPr>
      </w:pPr>
      <w:r w:rsidRPr="007C433B">
        <w:rPr>
          <w:rFonts w:ascii="Aptos" w:hAnsi="Aptos"/>
        </w:rPr>
        <w:t>Any future consideration of changes to Connecticut’s definition of a School-Based Health Center should carefully evaluate the potential impact on Expanded School Health Sites and existing medical, behavioral health, dental, and other school-based service models.</w:t>
      </w:r>
    </w:p>
    <w:p w14:paraId="3E953BB5" w14:textId="77777777" w:rsidR="005D3288" w:rsidRPr="007C433B" w:rsidRDefault="005D3288" w:rsidP="005D3288">
      <w:pPr>
        <w:rPr>
          <w:rFonts w:ascii="Aptos" w:hAnsi="Aptos"/>
        </w:rPr>
      </w:pPr>
      <w:r w:rsidRPr="007C433B">
        <w:rPr>
          <w:rFonts w:ascii="Aptos" w:hAnsi="Aptos"/>
        </w:rPr>
        <w:t>Connecticut has developed a diverse school-based healthcare system that responds to the needs and resources of individual communities. While alignment with federal terminology may offer benefits, changes should not unintentionally jeopardize existing services, funding eligibility, recognition, data inclusion, or technical assistance for programs currently providing needed healthcare to students.</w:t>
      </w:r>
    </w:p>
    <w:p w14:paraId="7E206A03" w14:textId="77777777" w:rsidR="005D3288" w:rsidRPr="007C433B" w:rsidRDefault="005D3288" w:rsidP="005D3288">
      <w:pPr>
        <w:rPr>
          <w:rFonts w:ascii="Aptos" w:hAnsi="Aptos"/>
        </w:rPr>
      </w:pPr>
      <w:r w:rsidRPr="007C433B">
        <w:rPr>
          <w:rFonts w:ascii="Aptos" w:hAnsi="Aptos"/>
        </w:rPr>
        <w:t>Any proposed changes should include meaningful participation from sponsoring organizations and an assessment of potential fiscal and operational impacts before implementation.</w:t>
      </w:r>
    </w:p>
    <w:p w14:paraId="3C8FFE6F" w14:textId="77777777" w:rsidR="005D3288" w:rsidRPr="007C433B" w:rsidRDefault="005D3288" w:rsidP="005D3288">
      <w:pPr>
        <w:rPr>
          <w:rFonts w:ascii="Aptos" w:hAnsi="Aptos"/>
          <w:b/>
          <w:bCs/>
        </w:rPr>
      </w:pPr>
      <w:r w:rsidRPr="007C433B">
        <w:rPr>
          <w:rFonts w:ascii="Aptos" w:hAnsi="Aptos"/>
          <w:b/>
          <w:bCs/>
        </w:rPr>
        <w:t>9. Strengthen Integration, Access, and Community Voice</w:t>
      </w:r>
    </w:p>
    <w:p w14:paraId="7B20C036" w14:textId="77777777" w:rsidR="005D3288" w:rsidRPr="007C433B" w:rsidRDefault="005D3288" w:rsidP="005D3288">
      <w:pPr>
        <w:rPr>
          <w:rFonts w:ascii="Aptos" w:hAnsi="Aptos"/>
        </w:rPr>
      </w:pPr>
      <w:r w:rsidRPr="007C433B">
        <w:rPr>
          <w:rFonts w:ascii="Aptos" w:hAnsi="Aptos"/>
        </w:rPr>
        <w:lastRenderedPageBreak/>
        <w:t>Connecticut should continue strengthening partnerships among SBHCs, host schools, families, youth, and community providers while maintaining appropriate clinical independence and patient confidentiality.</w:t>
      </w:r>
    </w:p>
    <w:p w14:paraId="327ADA4B" w14:textId="77777777" w:rsidR="005D3288" w:rsidRPr="007C433B" w:rsidRDefault="005D3288" w:rsidP="005D3288">
      <w:pPr>
        <w:rPr>
          <w:rFonts w:ascii="Aptos" w:hAnsi="Aptos"/>
        </w:rPr>
      </w:pPr>
      <w:r w:rsidRPr="007C433B">
        <w:rPr>
          <w:rFonts w:ascii="Aptos" w:hAnsi="Aptos"/>
        </w:rPr>
        <w:t>Collaboration among SBHC providers, school nurses, administrators, counselors, social workers, educators, student-support teams, and families can support referrals, early identification, care coordination, and continuity of services. DPH and SDE should continue identifying opportunities to clarify roles, improve communication, reduce unnecessary duplication, and promote effective healthcare-education partnerships.</w:t>
      </w:r>
    </w:p>
    <w:p w14:paraId="2E1540B2" w14:textId="77777777" w:rsidR="005D3288" w:rsidRPr="007C433B" w:rsidRDefault="005D3288" w:rsidP="005D3288">
      <w:pPr>
        <w:rPr>
          <w:rFonts w:ascii="Aptos" w:hAnsi="Aptos"/>
        </w:rPr>
      </w:pPr>
      <w:r w:rsidRPr="007C433B">
        <w:rPr>
          <w:rFonts w:ascii="Aptos" w:hAnsi="Aptos"/>
        </w:rPr>
        <w:t>Local and statewide planning should also provide meaningful opportunities for youth and families to shape SBHC services. Students and families can provide important insight into access, confidentiality, stigma, communication, cultural responsiveness, and barriers to care. Youth engagement should extend beyond collecting feedback to appropriate participation in advisory structures, program development, peer initiatives, health education, and evaluation.</w:t>
      </w:r>
    </w:p>
    <w:p w14:paraId="005FB127" w14:textId="77777777" w:rsidR="005D3288" w:rsidRPr="007C433B" w:rsidRDefault="005D3288" w:rsidP="005D3288">
      <w:pPr>
        <w:rPr>
          <w:rFonts w:ascii="Aptos" w:hAnsi="Aptos"/>
        </w:rPr>
      </w:pPr>
      <w:r w:rsidRPr="007C433B">
        <w:rPr>
          <w:rFonts w:ascii="Aptos" w:hAnsi="Aptos"/>
        </w:rPr>
        <w:t>The objective is not to make SBHCs part of the educational system, but to ensure that healthcare and education systems work effectively together in support of the same children and adolescents.</w:t>
      </w:r>
    </w:p>
    <w:p w14:paraId="721BD964" w14:textId="77777777" w:rsidR="005D3288" w:rsidRPr="007C433B" w:rsidRDefault="005D3288" w:rsidP="005D3288">
      <w:pPr>
        <w:rPr>
          <w:rFonts w:ascii="Aptos" w:hAnsi="Aptos"/>
          <w:b/>
          <w:bCs/>
        </w:rPr>
      </w:pPr>
      <w:r w:rsidRPr="007C433B">
        <w:rPr>
          <w:rFonts w:ascii="Aptos" w:hAnsi="Aptos"/>
          <w:b/>
          <w:bCs/>
        </w:rPr>
        <w:t>10. Prioritize Rural and Underserved Communities and Maintain Cross-Agency Collaboration</w:t>
      </w:r>
    </w:p>
    <w:p w14:paraId="316FC253" w14:textId="77777777" w:rsidR="005D3288" w:rsidRPr="007C433B" w:rsidRDefault="005D3288" w:rsidP="005D3288">
      <w:pPr>
        <w:rPr>
          <w:rFonts w:ascii="Aptos" w:hAnsi="Aptos"/>
        </w:rPr>
      </w:pPr>
      <w:r w:rsidRPr="007C433B">
        <w:rPr>
          <w:rFonts w:ascii="Aptos" w:hAnsi="Aptos"/>
        </w:rPr>
        <w:t>Connecticut should continue identifying communities where students experience significant barriers to medical, behavioral health, and oral healthcare and consider school-based healthcare as part of the state’s strategy for addressing those gaps.</w:t>
      </w:r>
    </w:p>
    <w:p w14:paraId="277EA8B8" w14:textId="77777777" w:rsidR="005D3288" w:rsidRPr="007C433B" w:rsidRDefault="005D3288" w:rsidP="005D3288">
      <w:pPr>
        <w:rPr>
          <w:rFonts w:ascii="Aptos" w:hAnsi="Aptos"/>
        </w:rPr>
      </w:pPr>
      <w:r w:rsidRPr="007C433B">
        <w:rPr>
          <w:rFonts w:ascii="Aptos" w:hAnsi="Aptos"/>
        </w:rPr>
        <w:t>This is particularly timely given Connecticut’s implementation of the Rural Health Transformation Program (RHTP). DPH, DSS, and other agencies responsible for RHTP implementation should ensure that school-based healthcare is meaningfully considered in rural health transformation planning and future funding opportunities where consistent with federally approved projects. Existing RHTP efforts related to school-based mental health resources and referral, workforce development, behavioral healthcare, mobile primary and dental services, and technology-enabled care provide opportunities to strengthen connections among rural schools, SBHCs and Expanded School Health Sites, community providers, and regional resources.</w:t>
      </w:r>
    </w:p>
    <w:p w14:paraId="411B6805" w14:textId="77777777" w:rsidR="005D3288" w:rsidRPr="007C433B" w:rsidRDefault="005D3288" w:rsidP="005D3288">
      <w:pPr>
        <w:rPr>
          <w:rFonts w:ascii="Aptos" w:hAnsi="Aptos"/>
        </w:rPr>
      </w:pPr>
      <w:r w:rsidRPr="007C433B">
        <w:rPr>
          <w:rFonts w:ascii="Aptos" w:hAnsi="Aptos"/>
        </w:rPr>
        <w:t>More broadly, many challenges facing SBHCs—including financing, Medicaid reimbursement, behavioral health access, workforce shortages, confidentiality, data, and coordination with education—cross agency boundaries. Continued coordination among DPH, DSS, DMHAS, SDE, DCF, CASBHC, SBHC sponsoring organizations, schools, healthcare systems, community organizations, families, and youth will be essential.</w:t>
      </w:r>
    </w:p>
    <w:p w14:paraId="5372651A" w14:textId="77777777" w:rsidR="005D3288" w:rsidRPr="007C433B" w:rsidRDefault="005D3288" w:rsidP="005D3288">
      <w:pPr>
        <w:rPr>
          <w:rFonts w:ascii="Aptos" w:hAnsi="Aptos"/>
        </w:rPr>
      </w:pPr>
      <w:r w:rsidRPr="007C433B">
        <w:rPr>
          <w:rFonts w:ascii="Aptos" w:hAnsi="Aptos"/>
        </w:rPr>
        <w:t>The Advisory Committee provides an established mechanism for this coordination and should continue to serve as a forum for identifying emerging issues, bringing forward perspectives from the field, examining policy implications, and developing recommendations for strengthening Connecticut’s school-based healthcare system.</w:t>
      </w:r>
    </w:p>
    <w:p w14:paraId="2BE71FD9" w14:textId="77777777" w:rsidR="007C433B" w:rsidRDefault="007C433B" w:rsidP="00FB72AA">
      <w:pPr>
        <w:pStyle w:val="Heading2"/>
        <w:rPr>
          <w:rFonts w:ascii="Aptos" w:hAnsi="Aptos"/>
        </w:rPr>
      </w:pPr>
      <w:bookmarkStart w:id="13" w:name="_Toc241838551"/>
    </w:p>
    <w:p w14:paraId="70608721" w14:textId="77777777" w:rsidR="007C433B" w:rsidRDefault="007C433B" w:rsidP="00FB72AA">
      <w:pPr>
        <w:pStyle w:val="Heading2"/>
        <w:rPr>
          <w:rFonts w:ascii="Aptos" w:hAnsi="Aptos"/>
        </w:rPr>
      </w:pPr>
    </w:p>
    <w:p w14:paraId="528437ED" w14:textId="77777777" w:rsidR="007C433B" w:rsidRDefault="007C433B" w:rsidP="00FB72AA">
      <w:pPr>
        <w:pStyle w:val="Heading2"/>
        <w:rPr>
          <w:rFonts w:ascii="Aptos" w:hAnsi="Aptos"/>
        </w:rPr>
      </w:pPr>
    </w:p>
    <w:p w14:paraId="17937107" w14:textId="77777777" w:rsidR="007C433B" w:rsidRDefault="007C433B" w:rsidP="00FB72AA">
      <w:pPr>
        <w:pStyle w:val="Heading2"/>
        <w:rPr>
          <w:rFonts w:ascii="Aptos" w:hAnsi="Aptos"/>
        </w:rPr>
      </w:pPr>
    </w:p>
    <w:p w14:paraId="27ADA60A" w14:textId="35624F92" w:rsidR="002873B6" w:rsidRPr="002A5211" w:rsidRDefault="00291FC5" w:rsidP="00FB72AA">
      <w:pPr>
        <w:pStyle w:val="Heading2"/>
        <w:rPr>
          <w:rFonts w:ascii="Aptos" w:hAnsi="Aptos"/>
        </w:rPr>
      </w:pPr>
      <w:r w:rsidRPr="002A5211">
        <w:rPr>
          <w:rFonts w:ascii="Aptos" w:hAnsi="Aptos"/>
        </w:rPr>
        <w:t>Conclusion</w:t>
      </w:r>
      <w:bookmarkEnd w:id="13"/>
    </w:p>
    <w:p w14:paraId="3C4AA754" w14:textId="77777777" w:rsidR="006758C9" w:rsidRPr="007C433B" w:rsidRDefault="006758C9" w:rsidP="006758C9">
      <w:pPr>
        <w:rPr>
          <w:rFonts w:ascii="Aptos" w:hAnsi="Aptos"/>
        </w:rPr>
      </w:pPr>
      <w:r w:rsidRPr="007C433B">
        <w:rPr>
          <w:rFonts w:ascii="Aptos" w:hAnsi="Aptos"/>
        </w:rPr>
        <w:t>Connecticut’s School-Based Health Centers and Expanded School Health Sites are an essential part of the state’s healthcare, behavioral health, prevention, and educational support infrastructure. Their strength is simple: they bring care directly to students, reducing barriers to access and supporting earlier intervention.</w:t>
      </w:r>
    </w:p>
    <w:p w14:paraId="170227DF" w14:textId="77777777" w:rsidR="006758C9" w:rsidRPr="007C433B" w:rsidRDefault="006758C9" w:rsidP="006758C9">
      <w:pPr>
        <w:rPr>
          <w:rFonts w:ascii="Aptos" w:hAnsi="Aptos"/>
        </w:rPr>
      </w:pPr>
      <w:r w:rsidRPr="007C433B">
        <w:rPr>
          <w:rFonts w:ascii="Aptos" w:hAnsi="Aptos"/>
        </w:rPr>
        <w:t>SBHCs improve access to preventive and behavioral healthcare, support chronic disease management, and contribute to positive educational outcomes.</w:t>
      </w:r>
    </w:p>
    <w:p w14:paraId="48C04E22" w14:textId="4062FC16" w:rsidR="006758C9" w:rsidRPr="007C433B" w:rsidRDefault="006758C9" w:rsidP="006758C9">
      <w:pPr>
        <w:rPr>
          <w:rFonts w:ascii="Aptos" w:hAnsi="Aptos"/>
        </w:rPr>
      </w:pPr>
      <w:r w:rsidRPr="007C433B">
        <w:rPr>
          <w:rFonts w:ascii="Aptos" w:hAnsi="Aptos"/>
        </w:rPr>
        <w:t xml:space="preserve">Looking ahead, Connecticut’s focus must be on strengthening the systems that sustain this </w:t>
      </w:r>
      <w:r w:rsidR="005B7EA3" w:rsidRPr="007C433B">
        <w:rPr>
          <w:rFonts w:ascii="Aptos" w:hAnsi="Aptos"/>
        </w:rPr>
        <w:t xml:space="preserve">model, </w:t>
      </w:r>
      <w:r w:rsidRPr="007C433B">
        <w:rPr>
          <w:rFonts w:ascii="Aptos" w:hAnsi="Aptos"/>
        </w:rPr>
        <w:t>including stable funding, appropriate reimbursement, workforce investment, reliable data, strong referral networks, and meaningful youth, family, and community partnerships.</w:t>
      </w:r>
    </w:p>
    <w:p w14:paraId="14824A11" w14:textId="77777777" w:rsidR="006758C9" w:rsidRPr="007C433B" w:rsidRDefault="006758C9" w:rsidP="006758C9">
      <w:pPr>
        <w:rPr>
          <w:rFonts w:ascii="Aptos" w:hAnsi="Aptos"/>
        </w:rPr>
      </w:pPr>
      <w:r w:rsidRPr="007C433B">
        <w:rPr>
          <w:rFonts w:ascii="Aptos" w:hAnsi="Aptos"/>
        </w:rPr>
        <w:t>Continued investment in school-based healthcare is an investment in prevention, health equity, educational opportunity, and the long-term health and well-being of Connecticut’s children and communities.</w:t>
      </w:r>
    </w:p>
    <w:p w14:paraId="0248B490" w14:textId="77777777" w:rsidR="000960E9" w:rsidRPr="007C433B" w:rsidRDefault="000960E9" w:rsidP="00FB72AA">
      <w:pPr>
        <w:rPr>
          <w:rFonts w:ascii="Aptos" w:hAnsi="Aptos"/>
        </w:rPr>
      </w:pPr>
    </w:p>
    <w:p w14:paraId="201BB3A7" w14:textId="77777777" w:rsidR="00E71BE9" w:rsidRPr="007C433B" w:rsidRDefault="00E71BE9" w:rsidP="00E71BE9">
      <w:pPr>
        <w:rPr>
          <w:rFonts w:ascii="Aptos" w:hAnsi="Aptos"/>
          <w:b/>
          <w:bCs/>
          <w:i/>
          <w:iCs/>
          <w:lang w:val="fr-FR"/>
        </w:rPr>
      </w:pPr>
      <w:r w:rsidRPr="007C433B">
        <w:rPr>
          <w:rFonts w:ascii="Aptos" w:hAnsi="Aptos"/>
          <w:b/>
          <w:bCs/>
          <w:i/>
          <w:iCs/>
          <w:lang w:val="fr-FR"/>
        </w:rPr>
        <w:t>Citation</w:t>
      </w:r>
    </w:p>
    <w:p w14:paraId="61C7BF0B" w14:textId="77777777" w:rsidR="00E71BE9" w:rsidRPr="007C433B" w:rsidRDefault="00E71BE9" w:rsidP="00E71BE9">
      <w:pPr>
        <w:rPr>
          <w:rFonts w:ascii="Aptos" w:hAnsi="Aptos"/>
        </w:rPr>
      </w:pPr>
      <w:r w:rsidRPr="007C433B">
        <w:rPr>
          <w:rFonts w:ascii="Aptos" w:hAnsi="Aptos"/>
          <w:b/>
          <w:bCs/>
          <w:lang w:val="fr-FR"/>
        </w:rPr>
        <w:t xml:space="preserve">Knopf, J. A., Finnie, R. K. C., Peng, Y., et al. </w:t>
      </w:r>
      <w:r w:rsidRPr="007C433B">
        <w:rPr>
          <w:rFonts w:ascii="Aptos" w:hAnsi="Aptos"/>
          <w:b/>
          <w:bCs/>
        </w:rPr>
        <w:t>(2016).</w:t>
      </w:r>
      <w:r w:rsidRPr="007C433B">
        <w:rPr>
          <w:rFonts w:ascii="Aptos" w:hAnsi="Aptos"/>
        </w:rPr>
        <w:t xml:space="preserve"> School-Based Health Centers to Advance Health Equity: A Community Guide Systematic Review. </w:t>
      </w:r>
      <w:r w:rsidRPr="007C433B">
        <w:rPr>
          <w:rFonts w:ascii="Aptos" w:hAnsi="Aptos"/>
          <w:i/>
          <w:iCs/>
        </w:rPr>
        <w:t>American Journal of Preventive Medicine, 51</w:t>
      </w:r>
      <w:r w:rsidRPr="007C433B">
        <w:rPr>
          <w:rFonts w:ascii="Aptos" w:hAnsi="Aptos"/>
        </w:rPr>
        <w:t>(1), 114–126. https://doi.org/10.1016/j.amepre.2016.01.009.</w:t>
      </w:r>
    </w:p>
    <w:p w14:paraId="46F8FDBC" w14:textId="77777777" w:rsidR="00E71BE9" w:rsidRPr="007C433B" w:rsidRDefault="00E71BE9" w:rsidP="00E71BE9">
      <w:pPr>
        <w:rPr>
          <w:rFonts w:ascii="Aptos" w:hAnsi="Aptos"/>
        </w:rPr>
      </w:pPr>
      <w:r w:rsidRPr="007C433B">
        <w:rPr>
          <w:rFonts w:ascii="Aptos" w:hAnsi="Aptos"/>
          <w:b/>
          <w:bCs/>
        </w:rPr>
        <w:t>Ran, T., Chattopadhyay, S. K., Hahn, R. A., &amp; Community Preventive Services Task Force. (2016).</w:t>
      </w:r>
      <w:r w:rsidRPr="007C433B">
        <w:rPr>
          <w:rFonts w:ascii="Aptos" w:hAnsi="Aptos"/>
        </w:rPr>
        <w:t xml:space="preserve"> Economic Evaluation of School-Based Health Centers: A Community Guide Systematic Review. </w:t>
      </w:r>
      <w:r w:rsidRPr="007C433B">
        <w:rPr>
          <w:rFonts w:ascii="Aptos" w:hAnsi="Aptos"/>
          <w:i/>
          <w:iCs/>
        </w:rPr>
        <w:t>American Journal of Preventive Medicine, 51</w:t>
      </w:r>
      <w:r w:rsidRPr="007C433B">
        <w:rPr>
          <w:rFonts w:ascii="Aptos" w:hAnsi="Aptos"/>
        </w:rPr>
        <w:t>(1), 129–138. https://doi.org/10.1016/j.amepre.2016.01.017</w:t>
      </w:r>
    </w:p>
    <w:p w14:paraId="1D2D5880" w14:textId="45AAB569" w:rsidR="006758C9" w:rsidRPr="005F228B" w:rsidRDefault="006758C9" w:rsidP="005F228B">
      <w:pPr>
        <w:rPr>
          <w:rFonts w:ascii="Aptos" w:hAnsi="Aptos"/>
        </w:rPr>
      </w:pPr>
    </w:p>
    <w:p w14:paraId="3EC62B5A" w14:textId="2C272252" w:rsidR="191E47AF" w:rsidRPr="002A5211" w:rsidRDefault="191E47AF" w:rsidP="2E52C192">
      <w:pPr>
        <w:rPr>
          <w:rFonts w:ascii="Aptos" w:hAnsi="Aptos"/>
        </w:rPr>
      </w:pPr>
    </w:p>
    <w:sectPr w:rsidR="191E47AF" w:rsidRPr="002A5211" w:rsidSect="000310D0">
      <w:headerReference w:type="default" r:id="rId13"/>
      <w:footerReference w:type="default" r:id="rId14"/>
      <w:headerReference w:type="first" r:id="rId15"/>
      <w:footerReference w:type="first" r:id="rId16"/>
      <w:pgSz w:w="12240" w:h="15840"/>
      <w:pgMar w:top="1440" w:right="1440" w:bottom="1440" w:left="1440" w:header="432"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307AC" w14:textId="77777777" w:rsidR="008F1D59" w:rsidRDefault="008F1D59" w:rsidP="00FB72AA">
      <w:r>
        <w:separator/>
      </w:r>
    </w:p>
  </w:endnote>
  <w:endnote w:type="continuationSeparator" w:id="0">
    <w:p w14:paraId="1FBCBFB8" w14:textId="77777777" w:rsidR="008F1D59" w:rsidRDefault="008F1D59" w:rsidP="00FB7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DIN Condense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156494"/>
      <w:docPartObj>
        <w:docPartGallery w:val="Page Numbers (Bottom of Page)"/>
        <w:docPartUnique/>
      </w:docPartObj>
    </w:sdtPr>
    <w:sdtEndPr>
      <w:rPr>
        <w:noProof/>
      </w:rPr>
    </w:sdtEndPr>
    <w:sdtContent>
      <w:p w14:paraId="240E5ED4" w14:textId="29F868AF" w:rsidR="00D2090C" w:rsidRDefault="00D2090C" w:rsidP="00FB72AA">
        <w:pPr>
          <w:pStyle w:val="Footer"/>
        </w:pPr>
        <w:r w:rsidRPr="00D2090C">
          <w:fldChar w:fldCharType="begin"/>
        </w:r>
        <w:r w:rsidRPr="00D2090C">
          <w:instrText xml:space="preserve"> PAGE   \* MERGEFORMAT </w:instrText>
        </w:r>
        <w:r w:rsidRPr="00D2090C">
          <w:fldChar w:fldCharType="separate"/>
        </w:r>
        <w:r w:rsidRPr="00D2090C">
          <w:rPr>
            <w:noProof/>
          </w:rPr>
          <w:t>2</w:t>
        </w:r>
        <w:r w:rsidRPr="00D2090C">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E52C192" w14:paraId="120AEFA1" w14:textId="77777777" w:rsidTr="2E52C192">
      <w:trPr>
        <w:trHeight w:val="300"/>
      </w:trPr>
      <w:tc>
        <w:tcPr>
          <w:tcW w:w="3120" w:type="dxa"/>
        </w:tcPr>
        <w:p w14:paraId="0D455E9B" w14:textId="0145F83D" w:rsidR="2E52C192" w:rsidRDefault="2E52C192" w:rsidP="2E52C192">
          <w:pPr>
            <w:pStyle w:val="Header"/>
            <w:ind w:left="-115"/>
          </w:pPr>
        </w:p>
      </w:tc>
      <w:tc>
        <w:tcPr>
          <w:tcW w:w="3120" w:type="dxa"/>
        </w:tcPr>
        <w:p w14:paraId="7748BEAF" w14:textId="0FDBFBB3" w:rsidR="2E52C192" w:rsidRDefault="2E52C192" w:rsidP="2E52C192">
          <w:pPr>
            <w:pStyle w:val="Header"/>
            <w:jc w:val="center"/>
          </w:pPr>
        </w:p>
      </w:tc>
      <w:tc>
        <w:tcPr>
          <w:tcW w:w="3120" w:type="dxa"/>
        </w:tcPr>
        <w:p w14:paraId="0B2D2F9A" w14:textId="41942152" w:rsidR="2E52C192" w:rsidRDefault="2E52C192" w:rsidP="2E52C192">
          <w:pPr>
            <w:pStyle w:val="Header"/>
            <w:ind w:right="-115"/>
            <w:jc w:val="right"/>
          </w:pPr>
        </w:p>
      </w:tc>
    </w:tr>
  </w:tbl>
  <w:p w14:paraId="510E142F" w14:textId="7FD63953" w:rsidR="2E52C192" w:rsidRDefault="2E52C192" w:rsidP="2E52C1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28C18" w14:textId="77777777" w:rsidR="008F1D59" w:rsidRDefault="008F1D59" w:rsidP="00FB72AA">
      <w:r>
        <w:separator/>
      </w:r>
    </w:p>
  </w:footnote>
  <w:footnote w:type="continuationSeparator" w:id="0">
    <w:p w14:paraId="2428373F" w14:textId="77777777" w:rsidR="008F1D59" w:rsidRDefault="008F1D59" w:rsidP="00FB7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1CB3" w14:textId="7058486C" w:rsidR="003D5833" w:rsidRDefault="000310D0">
    <w:pPr>
      <w:pStyle w:val="Header"/>
    </w:pPr>
    <w:r>
      <w:rPr>
        <w:noProof/>
      </w:rPr>
      <w:drawing>
        <wp:anchor distT="0" distB="0" distL="114300" distR="114300" simplePos="0" relativeHeight="251658240" behindDoc="0" locked="0" layoutInCell="1" allowOverlap="1" wp14:anchorId="64804619" wp14:editId="44DA7C68">
          <wp:simplePos x="0" y="0"/>
          <wp:positionH relativeFrom="column">
            <wp:posOffset>-723505</wp:posOffset>
          </wp:positionH>
          <wp:positionV relativeFrom="paragraph">
            <wp:posOffset>-76141</wp:posOffset>
          </wp:positionV>
          <wp:extent cx="1940560" cy="543560"/>
          <wp:effectExtent l="0" t="0" r="2540" b="8890"/>
          <wp:wrapSquare wrapText="bothSides"/>
          <wp:docPr id="20529957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0560" cy="54356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E52C192" w14:paraId="4C3A0810" w14:textId="77777777" w:rsidTr="2E52C192">
      <w:trPr>
        <w:trHeight w:val="300"/>
      </w:trPr>
      <w:tc>
        <w:tcPr>
          <w:tcW w:w="3120" w:type="dxa"/>
        </w:tcPr>
        <w:p w14:paraId="330C8CF7" w14:textId="13AF36DA" w:rsidR="2E52C192" w:rsidRDefault="2E52C192" w:rsidP="2E52C192">
          <w:pPr>
            <w:pStyle w:val="Header"/>
            <w:ind w:left="-115"/>
          </w:pPr>
        </w:p>
      </w:tc>
      <w:tc>
        <w:tcPr>
          <w:tcW w:w="3120" w:type="dxa"/>
        </w:tcPr>
        <w:p w14:paraId="405FD085" w14:textId="61727861" w:rsidR="2E52C192" w:rsidRDefault="2E52C192" w:rsidP="2E52C192">
          <w:pPr>
            <w:pStyle w:val="Header"/>
            <w:jc w:val="center"/>
          </w:pPr>
        </w:p>
      </w:tc>
      <w:tc>
        <w:tcPr>
          <w:tcW w:w="3120" w:type="dxa"/>
        </w:tcPr>
        <w:p w14:paraId="187DA54E" w14:textId="6E225E53" w:rsidR="2E52C192" w:rsidRDefault="2E52C192" w:rsidP="2E52C192">
          <w:pPr>
            <w:pStyle w:val="Header"/>
            <w:ind w:right="-115"/>
            <w:jc w:val="right"/>
          </w:pPr>
        </w:p>
      </w:tc>
    </w:tr>
  </w:tbl>
  <w:p w14:paraId="229CE583" w14:textId="10415580" w:rsidR="2E52C192" w:rsidRDefault="2E52C192" w:rsidP="2E52C1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555CD"/>
    <w:multiLevelType w:val="hybridMultilevel"/>
    <w:tmpl w:val="BEC4F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537B2A"/>
    <w:multiLevelType w:val="multilevel"/>
    <w:tmpl w:val="7B668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4B5530"/>
    <w:multiLevelType w:val="hybridMultilevel"/>
    <w:tmpl w:val="1638B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1654FE"/>
    <w:multiLevelType w:val="hybridMultilevel"/>
    <w:tmpl w:val="D5E8D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D83AA6"/>
    <w:multiLevelType w:val="hybridMultilevel"/>
    <w:tmpl w:val="766479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A5A0F20"/>
    <w:multiLevelType w:val="multilevel"/>
    <w:tmpl w:val="C240B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1B4505"/>
    <w:multiLevelType w:val="hybridMultilevel"/>
    <w:tmpl w:val="4344E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F96CFD"/>
    <w:multiLevelType w:val="hybridMultilevel"/>
    <w:tmpl w:val="E5D48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6281394">
    <w:abstractNumId w:val="7"/>
  </w:num>
  <w:num w:numId="2" w16cid:durableId="1651329358">
    <w:abstractNumId w:val="6"/>
  </w:num>
  <w:num w:numId="3" w16cid:durableId="2008316063">
    <w:abstractNumId w:val="3"/>
  </w:num>
  <w:num w:numId="4" w16cid:durableId="713427946">
    <w:abstractNumId w:val="4"/>
  </w:num>
  <w:num w:numId="5" w16cid:durableId="1248804556">
    <w:abstractNumId w:val="2"/>
  </w:num>
  <w:num w:numId="6" w16cid:durableId="1561285264">
    <w:abstractNumId w:val="5"/>
  </w:num>
  <w:num w:numId="7" w16cid:durableId="1660502459">
    <w:abstractNumId w:val="1"/>
  </w:num>
  <w:num w:numId="8" w16cid:durableId="622493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6A2"/>
    <w:rsid w:val="00003485"/>
    <w:rsid w:val="000310D0"/>
    <w:rsid w:val="000960E9"/>
    <w:rsid w:val="00097239"/>
    <w:rsid w:val="000979F8"/>
    <w:rsid w:val="000F2193"/>
    <w:rsid w:val="001162D4"/>
    <w:rsid w:val="00156FBA"/>
    <w:rsid w:val="00157CFE"/>
    <w:rsid w:val="001610E5"/>
    <w:rsid w:val="0017165C"/>
    <w:rsid w:val="001816A2"/>
    <w:rsid w:val="001C00C7"/>
    <w:rsid w:val="001D30A9"/>
    <w:rsid w:val="001D4D0A"/>
    <w:rsid w:val="001D604C"/>
    <w:rsid w:val="00251634"/>
    <w:rsid w:val="002865A5"/>
    <w:rsid w:val="002873B6"/>
    <w:rsid w:val="00291CAE"/>
    <w:rsid w:val="00291FC5"/>
    <w:rsid w:val="002A5211"/>
    <w:rsid w:val="002B6BED"/>
    <w:rsid w:val="00300879"/>
    <w:rsid w:val="00301855"/>
    <w:rsid w:val="00314F96"/>
    <w:rsid w:val="00337148"/>
    <w:rsid w:val="00352DBA"/>
    <w:rsid w:val="00366E09"/>
    <w:rsid w:val="00382459"/>
    <w:rsid w:val="003844FE"/>
    <w:rsid w:val="00394CF8"/>
    <w:rsid w:val="003A3A67"/>
    <w:rsid w:val="003D4E3F"/>
    <w:rsid w:val="003D5833"/>
    <w:rsid w:val="00423B26"/>
    <w:rsid w:val="0042411D"/>
    <w:rsid w:val="0044678A"/>
    <w:rsid w:val="004741D8"/>
    <w:rsid w:val="00556ECA"/>
    <w:rsid w:val="005A6E54"/>
    <w:rsid w:val="005B7EA3"/>
    <w:rsid w:val="005D3288"/>
    <w:rsid w:val="005D39E3"/>
    <w:rsid w:val="005D4083"/>
    <w:rsid w:val="005F228B"/>
    <w:rsid w:val="00605B3B"/>
    <w:rsid w:val="00612C94"/>
    <w:rsid w:val="00617256"/>
    <w:rsid w:val="006259C1"/>
    <w:rsid w:val="006706C1"/>
    <w:rsid w:val="006758C9"/>
    <w:rsid w:val="00697D6F"/>
    <w:rsid w:val="006D02CB"/>
    <w:rsid w:val="006D4562"/>
    <w:rsid w:val="007235E3"/>
    <w:rsid w:val="00770FE3"/>
    <w:rsid w:val="007747E9"/>
    <w:rsid w:val="00780B9D"/>
    <w:rsid w:val="0079341C"/>
    <w:rsid w:val="007A671B"/>
    <w:rsid w:val="007C433B"/>
    <w:rsid w:val="007C4BA0"/>
    <w:rsid w:val="007D09BF"/>
    <w:rsid w:val="007E0D43"/>
    <w:rsid w:val="0081325C"/>
    <w:rsid w:val="008174CD"/>
    <w:rsid w:val="00854BDF"/>
    <w:rsid w:val="00857EC2"/>
    <w:rsid w:val="00887A2F"/>
    <w:rsid w:val="008C7042"/>
    <w:rsid w:val="008F1D59"/>
    <w:rsid w:val="00907685"/>
    <w:rsid w:val="0091758D"/>
    <w:rsid w:val="00921092"/>
    <w:rsid w:val="009425EB"/>
    <w:rsid w:val="009807A9"/>
    <w:rsid w:val="009B0AE2"/>
    <w:rsid w:val="009C453C"/>
    <w:rsid w:val="009D3CC4"/>
    <w:rsid w:val="009F76BA"/>
    <w:rsid w:val="00A40F48"/>
    <w:rsid w:val="00A73FDC"/>
    <w:rsid w:val="00A8443F"/>
    <w:rsid w:val="00A94C7A"/>
    <w:rsid w:val="00A97AEC"/>
    <w:rsid w:val="00AE2B74"/>
    <w:rsid w:val="00AF2A11"/>
    <w:rsid w:val="00B16994"/>
    <w:rsid w:val="00B27ED0"/>
    <w:rsid w:val="00B31B7E"/>
    <w:rsid w:val="00B623B4"/>
    <w:rsid w:val="00B629CA"/>
    <w:rsid w:val="00B95B1C"/>
    <w:rsid w:val="00BC37CA"/>
    <w:rsid w:val="00BE0465"/>
    <w:rsid w:val="00BE4215"/>
    <w:rsid w:val="00BE5B37"/>
    <w:rsid w:val="00BF3405"/>
    <w:rsid w:val="00C0002F"/>
    <w:rsid w:val="00C12FCE"/>
    <w:rsid w:val="00C13D3F"/>
    <w:rsid w:val="00C235D3"/>
    <w:rsid w:val="00C41F28"/>
    <w:rsid w:val="00C44987"/>
    <w:rsid w:val="00C46DC1"/>
    <w:rsid w:val="00C672A5"/>
    <w:rsid w:val="00C7188D"/>
    <w:rsid w:val="00CD50DB"/>
    <w:rsid w:val="00D109E3"/>
    <w:rsid w:val="00D2090C"/>
    <w:rsid w:val="00D44CA5"/>
    <w:rsid w:val="00D5091A"/>
    <w:rsid w:val="00D61A32"/>
    <w:rsid w:val="00D67E64"/>
    <w:rsid w:val="00D706D3"/>
    <w:rsid w:val="00D714BD"/>
    <w:rsid w:val="00D956CE"/>
    <w:rsid w:val="00D97F71"/>
    <w:rsid w:val="00DB32B8"/>
    <w:rsid w:val="00DB39B3"/>
    <w:rsid w:val="00DC1D0F"/>
    <w:rsid w:val="00DE6DAD"/>
    <w:rsid w:val="00DE7F77"/>
    <w:rsid w:val="00E00C54"/>
    <w:rsid w:val="00E1024D"/>
    <w:rsid w:val="00E11656"/>
    <w:rsid w:val="00E524E6"/>
    <w:rsid w:val="00E65D09"/>
    <w:rsid w:val="00E71BE9"/>
    <w:rsid w:val="00E74507"/>
    <w:rsid w:val="00E92501"/>
    <w:rsid w:val="00E96077"/>
    <w:rsid w:val="00EB17D5"/>
    <w:rsid w:val="00EC097E"/>
    <w:rsid w:val="00EC7E21"/>
    <w:rsid w:val="00ED319D"/>
    <w:rsid w:val="00F01CB1"/>
    <w:rsid w:val="00F05380"/>
    <w:rsid w:val="00F5797E"/>
    <w:rsid w:val="00F81423"/>
    <w:rsid w:val="00F9401A"/>
    <w:rsid w:val="00F94EE7"/>
    <w:rsid w:val="00FA3D00"/>
    <w:rsid w:val="00FB1B69"/>
    <w:rsid w:val="00FB4C6C"/>
    <w:rsid w:val="00FB72AA"/>
    <w:rsid w:val="00FC394D"/>
    <w:rsid w:val="00FE2549"/>
    <w:rsid w:val="0B728C3B"/>
    <w:rsid w:val="191E47AF"/>
    <w:rsid w:val="1AEA25E2"/>
    <w:rsid w:val="1E6526A4"/>
    <w:rsid w:val="20A39EAD"/>
    <w:rsid w:val="2AE5A595"/>
    <w:rsid w:val="2E52C192"/>
    <w:rsid w:val="352B39D4"/>
    <w:rsid w:val="444747A9"/>
    <w:rsid w:val="4CF65B0B"/>
    <w:rsid w:val="4E8916E6"/>
    <w:rsid w:val="535E6A9D"/>
    <w:rsid w:val="53606659"/>
    <w:rsid w:val="598D2A9E"/>
    <w:rsid w:val="6C006617"/>
    <w:rsid w:val="6F856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3BE8A"/>
  <w15:chartTrackingRefBased/>
  <w15:docId w15:val="{1172369A-D64B-4604-A819-AA5027C22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2AA"/>
    <w:rPr>
      <w:rFonts w:ascii="Calibri" w:hAnsi="Calibri" w:cs="Calibri"/>
    </w:rPr>
  </w:style>
  <w:style w:type="paragraph" w:styleId="Heading1">
    <w:name w:val="heading 1"/>
    <w:basedOn w:val="Normal"/>
    <w:next w:val="Normal"/>
    <w:link w:val="Heading1Char"/>
    <w:uiPriority w:val="9"/>
    <w:qFormat/>
    <w:rsid w:val="008C7042"/>
    <w:pPr>
      <w:keepNext/>
      <w:keepLines/>
      <w:spacing w:before="360" w:after="80"/>
      <w:outlineLvl w:val="0"/>
    </w:pPr>
    <w:rPr>
      <w:rFonts w:ascii="Calibri Light" w:eastAsiaTheme="majorEastAsia" w:hAnsi="Calibri Light" w:cstheme="majorBidi"/>
      <w:color w:val="3371E8"/>
      <w:sz w:val="36"/>
      <w:szCs w:val="40"/>
    </w:rPr>
  </w:style>
  <w:style w:type="paragraph" w:styleId="Heading2">
    <w:name w:val="heading 2"/>
    <w:basedOn w:val="Normal"/>
    <w:next w:val="Normal"/>
    <w:link w:val="Heading2Char"/>
    <w:uiPriority w:val="9"/>
    <w:unhideWhenUsed/>
    <w:qFormat/>
    <w:rsid w:val="003844FE"/>
    <w:pPr>
      <w:outlineLvl w:val="1"/>
    </w:pPr>
    <w:rPr>
      <w:b/>
      <w:bCs/>
      <w:sz w:val="28"/>
      <w:szCs w:val="28"/>
    </w:rPr>
  </w:style>
  <w:style w:type="paragraph" w:styleId="Heading3">
    <w:name w:val="heading 3"/>
    <w:basedOn w:val="Normal"/>
    <w:next w:val="Normal"/>
    <w:link w:val="Heading3Char"/>
    <w:uiPriority w:val="9"/>
    <w:unhideWhenUsed/>
    <w:qFormat/>
    <w:rsid w:val="00D5091A"/>
    <w:pPr>
      <w:outlineLvl w:val="2"/>
    </w:pPr>
    <w:rPr>
      <w:color w:val="3371E8"/>
      <w:sz w:val="24"/>
      <w:szCs w:val="24"/>
    </w:rPr>
  </w:style>
  <w:style w:type="paragraph" w:styleId="Heading4">
    <w:name w:val="heading 4"/>
    <w:basedOn w:val="Normal"/>
    <w:next w:val="Normal"/>
    <w:link w:val="Heading4Char"/>
    <w:uiPriority w:val="9"/>
    <w:semiHidden/>
    <w:unhideWhenUsed/>
    <w:qFormat/>
    <w:rsid w:val="001816A2"/>
    <w:pPr>
      <w:keepNext/>
      <w:keepLines/>
      <w:spacing w:before="80" w:after="40"/>
      <w:outlineLvl w:val="3"/>
    </w:pPr>
    <w:rPr>
      <w:rFonts w:eastAsiaTheme="majorEastAsia" w:cstheme="majorBidi"/>
      <w:i/>
      <w:iCs/>
      <w:color w:val="05548B" w:themeColor="accent1" w:themeShade="BF"/>
    </w:rPr>
  </w:style>
  <w:style w:type="paragraph" w:styleId="Heading5">
    <w:name w:val="heading 5"/>
    <w:basedOn w:val="Normal"/>
    <w:next w:val="Normal"/>
    <w:link w:val="Heading5Char"/>
    <w:uiPriority w:val="9"/>
    <w:semiHidden/>
    <w:unhideWhenUsed/>
    <w:qFormat/>
    <w:rsid w:val="001816A2"/>
    <w:pPr>
      <w:keepNext/>
      <w:keepLines/>
      <w:spacing w:before="80" w:after="40"/>
      <w:outlineLvl w:val="4"/>
    </w:pPr>
    <w:rPr>
      <w:rFonts w:eastAsiaTheme="majorEastAsia" w:cstheme="majorBidi"/>
      <w:color w:val="05548B" w:themeColor="accent1" w:themeShade="BF"/>
    </w:rPr>
  </w:style>
  <w:style w:type="paragraph" w:styleId="Heading6">
    <w:name w:val="heading 6"/>
    <w:basedOn w:val="Normal"/>
    <w:next w:val="Normal"/>
    <w:link w:val="Heading6Char"/>
    <w:uiPriority w:val="9"/>
    <w:semiHidden/>
    <w:unhideWhenUsed/>
    <w:qFormat/>
    <w:rsid w:val="001816A2"/>
    <w:pPr>
      <w:keepNext/>
      <w:keepLines/>
      <w:spacing w:before="40" w:after="0"/>
      <w:outlineLvl w:val="5"/>
    </w:pPr>
    <w:rPr>
      <w:rFonts w:eastAsiaTheme="majorEastAsia" w:cstheme="majorBidi"/>
      <w:i/>
      <w:iCs/>
      <w:color w:val="0B98EB" w:themeColor="text1" w:themeTint="A6"/>
    </w:rPr>
  </w:style>
  <w:style w:type="paragraph" w:styleId="Heading7">
    <w:name w:val="heading 7"/>
    <w:basedOn w:val="Normal"/>
    <w:next w:val="Normal"/>
    <w:link w:val="Heading7Char"/>
    <w:uiPriority w:val="9"/>
    <w:semiHidden/>
    <w:unhideWhenUsed/>
    <w:qFormat/>
    <w:rsid w:val="001816A2"/>
    <w:pPr>
      <w:keepNext/>
      <w:keepLines/>
      <w:spacing w:before="40" w:after="0"/>
      <w:outlineLvl w:val="6"/>
    </w:pPr>
    <w:rPr>
      <w:rFonts w:eastAsiaTheme="majorEastAsia" w:cstheme="majorBidi"/>
      <w:color w:val="0B98EB" w:themeColor="text1" w:themeTint="A6"/>
    </w:rPr>
  </w:style>
  <w:style w:type="paragraph" w:styleId="Heading8">
    <w:name w:val="heading 8"/>
    <w:basedOn w:val="Normal"/>
    <w:next w:val="Normal"/>
    <w:link w:val="Heading8Char"/>
    <w:uiPriority w:val="9"/>
    <w:semiHidden/>
    <w:unhideWhenUsed/>
    <w:qFormat/>
    <w:rsid w:val="001816A2"/>
    <w:pPr>
      <w:keepNext/>
      <w:keepLines/>
      <w:spacing w:after="0"/>
      <w:outlineLvl w:val="7"/>
    </w:pPr>
    <w:rPr>
      <w:rFonts w:eastAsiaTheme="majorEastAsia" w:cstheme="majorBidi"/>
      <w:i/>
      <w:iCs/>
      <w:color w:val="0867A0" w:themeColor="text1" w:themeTint="D8"/>
    </w:rPr>
  </w:style>
  <w:style w:type="paragraph" w:styleId="Heading9">
    <w:name w:val="heading 9"/>
    <w:basedOn w:val="Normal"/>
    <w:next w:val="Normal"/>
    <w:link w:val="Heading9Char"/>
    <w:uiPriority w:val="9"/>
    <w:semiHidden/>
    <w:unhideWhenUsed/>
    <w:qFormat/>
    <w:rsid w:val="001816A2"/>
    <w:pPr>
      <w:keepNext/>
      <w:keepLines/>
      <w:spacing w:after="0"/>
      <w:outlineLvl w:val="8"/>
    </w:pPr>
    <w:rPr>
      <w:rFonts w:eastAsiaTheme="majorEastAsia" w:cstheme="majorBidi"/>
      <w:color w:val="0867A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042"/>
    <w:rPr>
      <w:rFonts w:ascii="Calibri Light" w:eastAsiaTheme="majorEastAsia" w:hAnsi="Calibri Light" w:cstheme="majorBidi"/>
      <w:color w:val="3371E8"/>
      <w:sz w:val="36"/>
      <w:szCs w:val="40"/>
    </w:rPr>
  </w:style>
  <w:style w:type="character" w:customStyle="1" w:styleId="Heading2Char">
    <w:name w:val="Heading 2 Char"/>
    <w:basedOn w:val="DefaultParagraphFont"/>
    <w:link w:val="Heading2"/>
    <w:uiPriority w:val="9"/>
    <w:rsid w:val="003844FE"/>
    <w:rPr>
      <w:rFonts w:ascii="Calibri" w:hAnsi="Calibri" w:cs="Calibri"/>
      <w:b/>
      <w:bCs/>
      <w:sz w:val="28"/>
      <w:szCs w:val="28"/>
    </w:rPr>
  </w:style>
  <w:style w:type="character" w:customStyle="1" w:styleId="Heading3Char">
    <w:name w:val="Heading 3 Char"/>
    <w:basedOn w:val="DefaultParagraphFont"/>
    <w:link w:val="Heading3"/>
    <w:uiPriority w:val="9"/>
    <w:rsid w:val="00D5091A"/>
    <w:rPr>
      <w:rFonts w:ascii="Calibri" w:hAnsi="Calibri" w:cs="Calibri"/>
      <w:color w:val="3371E8"/>
      <w:sz w:val="24"/>
      <w:szCs w:val="24"/>
    </w:rPr>
  </w:style>
  <w:style w:type="character" w:customStyle="1" w:styleId="Heading4Char">
    <w:name w:val="Heading 4 Char"/>
    <w:basedOn w:val="DefaultParagraphFont"/>
    <w:link w:val="Heading4"/>
    <w:uiPriority w:val="9"/>
    <w:semiHidden/>
    <w:rsid w:val="001816A2"/>
    <w:rPr>
      <w:rFonts w:eastAsiaTheme="majorEastAsia" w:cstheme="majorBidi"/>
      <w:i/>
      <w:iCs/>
      <w:color w:val="05548B" w:themeColor="accent1" w:themeShade="BF"/>
    </w:rPr>
  </w:style>
  <w:style w:type="character" w:customStyle="1" w:styleId="Heading5Char">
    <w:name w:val="Heading 5 Char"/>
    <w:basedOn w:val="DefaultParagraphFont"/>
    <w:link w:val="Heading5"/>
    <w:uiPriority w:val="9"/>
    <w:semiHidden/>
    <w:rsid w:val="001816A2"/>
    <w:rPr>
      <w:rFonts w:eastAsiaTheme="majorEastAsia" w:cstheme="majorBidi"/>
      <w:color w:val="05548B" w:themeColor="accent1" w:themeShade="BF"/>
    </w:rPr>
  </w:style>
  <w:style w:type="character" w:customStyle="1" w:styleId="Heading6Char">
    <w:name w:val="Heading 6 Char"/>
    <w:basedOn w:val="DefaultParagraphFont"/>
    <w:link w:val="Heading6"/>
    <w:uiPriority w:val="9"/>
    <w:semiHidden/>
    <w:rsid w:val="001816A2"/>
    <w:rPr>
      <w:rFonts w:eastAsiaTheme="majorEastAsia" w:cstheme="majorBidi"/>
      <w:i/>
      <w:iCs/>
      <w:color w:val="0B98EB" w:themeColor="text1" w:themeTint="A6"/>
    </w:rPr>
  </w:style>
  <w:style w:type="character" w:customStyle="1" w:styleId="Heading7Char">
    <w:name w:val="Heading 7 Char"/>
    <w:basedOn w:val="DefaultParagraphFont"/>
    <w:link w:val="Heading7"/>
    <w:uiPriority w:val="9"/>
    <w:semiHidden/>
    <w:rsid w:val="001816A2"/>
    <w:rPr>
      <w:rFonts w:eastAsiaTheme="majorEastAsia" w:cstheme="majorBidi"/>
      <w:color w:val="0B98EB" w:themeColor="text1" w:themeTint="A6"/>
    </w:rPr>
  </w:style>
  <w:style w:type="character" w:customStyle="1" w:styleId="Heading8Char">
    <w:name w:val="Heading 8 Char"/>
    <w:basedOn w:val="DefaultParagraphFont"/>
    <w:link w:val="Heading8"/>
    <w:uiPriority w:val="9"/>
    <w:semiHidden/>
    <w:rsid w:val="001816A2"/>
    <w:rPr>
      <w:rFonts w:eastAsiaTheme="majorEastAsia" w:cstheme="majorBidi"/>
      <w:i/>
      <w:iCs/>
      <w:color w:val="0867A0" w:themeColor="text1" w:themeTint="D8"/>
    </w:rPr>
  </w:style>
  <w:style w:type="character" w:customStyle="1" w:styleId="Heading9Char">
    <w:name w:val="Heading 9 Char"/>
    <w:basedOn w:val="DefaultParagraphFont"/>
    <w:link w:val="Heading9"/>
    <w:uiPriority w:val="9"/>
    <w:semiHidden/>
    <w:rsid w:val="001816A2"/>
    <w:rPr>
      <w:rFonts w:eastAsiaTheme="majorEastAsia" w:cstheme="majorBidi"/>
      <w:color w:val="0867A0" w:themeColor="text1" w:themeTint="D8"/>
    </w:rPr>
  </w:style>
  <w:style w:type="paragraph" w:styleId="Title">
    <w:name w:val="Title"/>
    <w:basedOn w:val="Normal"/>
    <w:next w:val="Normal"/>
    <w:link w:val="TitleChar"/>
    <w:uiPriority w:val="10"/>
    <w:qFormat/>
    <w:rsid w:val="00FB72AA"/>
    <w:pPr>
      <w:spacing w:after="80"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FB72AA"/>
    <w:rPr>
      <w:rFonts w:ascii="Calibri" w:eastAsiaTheme="majorEastAsia" w:hAnsi="Calibri" w:cs="Calibri"/>
      <w:spacing w:val="-10"/>
      <w:kern w:val="28"/>
      <w:sz w:val="40"/>
      <w:szCs w:val="40"/>
    </w:rPr>
  </w:style>
  <w:style w:type="paragraph" w:styleId="Subtitle">
    <w:name w:val="Subtitle"/>
    <w:basedOn w:val="Normal"/>
    <w:next w:val="Normal"/>
    <w:link w:val="SubtitleChar"/>
    <w:uiPriority w:val="11"/>
    <w:qFormat/>
    <w:rsid w:val="001816A2"/>
    <w:pPr>
      <w:numPr>
        <w:ilvl w:val="1"/>
      </w:numPr>
    </w:pPr>
    <w:rPr>
      <w:rFonts w:eastAsiaTheme="majorEastAsia" w:cstheme="majorBidi"/>
      <w:color w:val="0B98EB" w:themeColor="text1" w:themeTint="A6"/>
      <w:spacing w:val="15"/>
      <w:sz w:val="28"/>
      <w:szCs w:val="28"/>
    </w:rPr>
  </w:style>
  <w:style w:type="character" w:customStyle="1" w:styleId="SubtitleChar">
    <w:name w:val="Subtitle Char"/>
    <w:basedOn w:val="DefaultParagraphFont"/>
    <w:link w:val="Subtitle"/>
    <w:uiPriority w:val="11"/>
    <w:rsid w:val="001816A2"/>
    <w:rPr>
      <w:rFonts w:eastAsiaTheme="majorEastAsia" w:cstheme="majorBidi"/>
      <w:color w:val="0B98EB" w:themeColor="text1" w:themeTint="A6"/>
      <w:spacing w:val="15"/>
      <w:sz w:val="28"/>
      <w:szCs w:val="28"/>
    </w:rPr>
  </w:style>
  <w:style w:type="paragraph" w:styleId="Quote">
    <w:name w:val="Quote"/>
    <w:basedOn w:val="Normal"/>
    <w:next w:val="Normal"/>
    <w:link w:val="QuoteChar"/>
    <w:uiPriority w:val="29"/>
    <w:qFormat/>
    <w:rsid w:val="001816A2"/>
    <w:pPr>
      <w:spacing w:before="160"/>
      <w:jc w:val="center"/>
    </w:pPr>
    <w:rPr>
      <w:i/>
      <w:iCs/>
      <w:color w:val="0980C6" w:themeColor="text1" w:themeTint="BF"/>
    </w:rPr>
  </w:style>
  <w:style w:type="character" w:customStyle="1" w:styleId="QuoteChar">
    <w:name w:val="Quote Char"/>
    <w:basedOn w:val="DefaultParagraphFont"/>
    <w:link w:val="Quote"/>
    <w:uiPriority w:val="29"/>
    <w:rsid w:val="001816A2"/>
    <w:rPr>
      <w:i/>
      <w:iCs/>
      <w:color w:val="0980C6" w:themeColor="text1" w:themeTint="BF"/>
    </w:rPr>
  </w:style>
  <w:style w:type="paragraph" w:styleId="ListParagraph">
    <w:name w:val="List Paragraph"/>
    <w:basedOn w:val="Normal"/>
    <w:uiPriority w:val="34"/>
    <w:qFormat/>
    <w:rsid w:val="001816A2"/>
    <w:pPr>
      <w:ind w:left="720"/>
      <w:contextualSpacing/>
    </w:pPr>
  </w:style>
  <w:style w:type="character" w:styleId="IntenseEmphasis">
    <w:name w:val="Intense Emphasis"/>
    <w:basedOn w:val="DefaultParagraphFont"/>
    <w:uiPriority w:val="21"/>
    <w:qFormat/>
    <w:rsid w:val="001816A2"/>
    <w:rPr>
      <w:i/>
      <w:iCs/>
      <w:color w:val="05548B" w:themeColor="accent1" w:themeShade="BF"/>
    </w:rPr>
  </w:style>
  <w:style w:type="paragraph" w:styleId="IntenseQuote">
    <w:name w:val="Intense Quote"/>
    <w:basedOn w:val="Normal"/>
    <w:next w:val="Normal"/>
    <w:link w:val="IntenseQuoteChar"/>
    <w:uiPriority w:val="30"/>
    <w:qFormat/>
    <w:rsid w:val="001816A2"/>
    <w:pPr>
      <w:pBdr>
        <w:top w:val="single" w:sz="4" w:space="10" w:color="05548B" w:themeColor="accent1" w:themeShade="BF"/>
        <w:bottom w:val="single" w:sz="4" w:space="10" w:color="05548B" w:themeColor="accent1" w:themeShade="BF"/>
      </w:pBdr>
      <w:spacing w:before="360" w:after="360"/>
      <w:ind w:left="864" w:right="864"/>
      <w:jc w:val="center"/>
    </w:pPr>
    <w:rPr>
      <w:i/>
      <w:iCs/>
      <w:color w:val="05548B" w:themeColor="accent1" w:themeShade="BF"/>
    </w:rPr>
  </w:style>
  <w:style w:type="character" w:customStyle="1" w:styleId="IntenseQuoteChar">
    <w:name w:val="Intense Quote Char"/>
    <w:basedOn w:val="DefaultParagraphFont"/>
    <w:link w:val="IntenseQuote"/>
    <w:uiPriority w:val="30"/>
    <w:rsid w:val="001816A2"/>
    <w:rPr>
      <w:i/>
      <w:iCs/>
      <w:color w:val="05548B" w:themeColor="accent1" w:themeShade="BF"/>
    </w:rPr>
  </w:style>
  <w:style w:type="character" w:styleId="IntenseReference">
    <w:name w:val="Intense Reference"/>
    <w:basedOn w:val="DefaultParagraphFont"/>
    <w:uiPriority w:val="32"/>
    <w:qFormat/>
    <w:rsid w:val="001816A2"/>
    <w:rPr>
      <w:b/>
      <w:bCs/>
      <w:smallCaps/>
      <w:color w:val="05548B" w:themeColor="accent1" w:themeShade="BF"/>
      <w:spacing w:val="5"/>
    </w:rPr>
  </w:style>
  <w:style w:type="paragraph" w:customStyle="1" w:styleId="paragraph">
    <w:name w:val="paragraph"/>
    <w:basedOn w:val="Normal"/>
    <w:rsid w:val="00BE04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acimagecontainer">
    <w:name w:val="wacimagecontainer"/>
    <w:basedOn w:val="DefaultParagraphFont"/>
    <w:rsid w:val="00BE0465"/>
  </w:style>
  <w:style w:type="character" w:customStyle="1" w:styleId="eop">
    <w:name w:val="eop"/>
    <w:basedOn w:val="DefaultParagraphFont"/>
    <w:rsid w:val="00BE0465"/>
  </w:style>
  <w:style w:type="character" w:customStyle="1" w:styleId="normaltextrun">
    <w:name w:val="normaltextrun"/>
    <w:basedOn w:val="DefaultParagraphFont"/>
    <w:rsid w:val="00BE0465"/>
  </w:style>
  <w:style w:type="paragraph" w:styleId="TOCHeading">
    <w:name w:val="TOC Heading"/>
    <w:basedOn w:val="Heading1"/>
    <w:next w:val="Normal"/>
    <w:uiPriority w:val="39"/>
    <w:unhideWhenUsed/>
    <w:qFormat/>
    <w:rsid w:val="00BF3405"/>
    <w:pPr>
      <w:spacing w:before="240" w:after="0"/>
      <w:outlineLvl w:val="9"/>
    </w:pPr>
    <w:rPr>
      <w:kern w:val="0"/>
      <w:sz w:val="32"/>
      <w:szCs w:val="32"/>
      <w14:ligatures w14:val="none"/>
    </w:rPr>
  </w:style>
  <w:style w:type="paragraph" w:styleId="Header">
    <w:name w:val="header"/>
    <w:basedOn w:val="Normal"/>
    <w:link w:val="HeaderChar"/>
    <w:uiPriority w:val="99"/>
    <w:unhideWhenUsed/>
    <w:rsid w:val="001716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65C"/>
  </w:style>
  <w:style w:type="paragraph" w:styleId="Footer">
    <w:name w:val="footer"/>
    <w:basedOn w:val="Normal"/>
    <w:link w:val="FooterChar"/>
    <w:uiPriority w:val="99"/>
    <w:unhideWhenUsed/>
    <w:rsid w:val="001716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65C"/>
  </w:style>
  <w:style w:type="paragraph" w:styleId="TOC2">
    <w:name w:val="toc 2"/>
    <w:basedOn w:val="Normal"/>
    <w:next w:val="Normal"/>
    <w:autoRedefine/>
    <w:uiPriority w:val="39"/>
    <w:unhideWhenUsed/>
    <w:rsid w:val="00301855"/>
    <w:pPr>
      <w:spacing w:after="100"/>
      <w:ind w:left="220"/>
    </w:pPr>
  </w:style>
  <w:style w:type="character" w:styleId="Hyperlink">
    <w:name w:val="Hyperlink"/>
    <w:basedOn w:val="DefaultParagraphFont"/>
    <w:uiPriority w:val="99"/>
    <w:unhideWhenUsed/>
    <w:rsid w:val="00301855"/>
    <w:rPr>
      <w:color w:val="3A95D2" w:themeColor="hyperlink"/>
      <w:u w:val="single"/>
    </w:rPr>
  </w:style>
  <w:style w:type="paragraph" w:styleId="NoSpacing">
    <w:name w:val="No Spacing"/>
    <w:uiPriority w:val="1"/>
    <w:qFormat/>
    <w:rsid w:val="00FB72AA"/>
    <w:pPr>
      <w:spacing w:after="0" w:line="240" w:lineRule="auto"/>
    </w:pPr>
    <w:rPr>
      <w:rFonts w:ascii="Calibri" w:hAnsi="Calibri" w:cs="Calibri"/>
    </w:rPr>
  </w:style>
  <w:style w:type="paragraph" w:styleId="TOC3">
    <w:name w:val="toc 3"/>
    <w:basedOn w:val="Normal"/>
    <w:next w:val="Normal"/>
    <w:autoRedefine/>
    <w:uiPriority w:val="39"/>
    <w:unhideWhenUsed/>
    <w:rsid w:val="00FB72AA"/>
    <w:pPr>
      <w:spacing w:after="100"/>
      <w:ind w:left="440"/>
    </w:pPr>
  </w:style>
  <w:style w:type="character" w:styleId="CommentReference">
    <w:name w:val="annotation reference"/>
    <w:basedOn w:val="DefaultParagraphFont"/>
    <w:uiPriority w:val="99"/>
    <w:semiHidden/>
    <w:unhideWhenUsed/>
    <w:rsid w:val="00C7188D"/>
    <w:rPr>
      <w:sz w:val="16"/>
      <w:szCs w:val="16"/>
    </w:rPr>
  </w:style>
  <w:style w:type="paragraph" w:styleId="CommentText">
    <w:name w:val="annotation text"/>
    <w:basedOn w:val="Normal"/>
    <w:link w:val="CommentTextChar"/>
    <w:uiPriority w:val="99"/>
    <w:unhideWhenUsed/>
    <w:rsid w:val="00C7188D"/>
    <w:pPr>
      <w:spacing w:line="240" w:lineRule="auto"/>
    </w:pPr>
    <w:rPr>
      <w:sz w:val="20"/>
      <w:szCs w:val="20"/>
    </w:rPr>
  </w:style>
  <w:style w:type="character" w:customStyle="1" w:styleId="CommentTextChar">
    <w:name w:val="Comment Text Char"/>
    <w:basedOn w:val="DefaultParagraphFont"/>
    <w:link w:val="CommentText"/>
    <w:uiPriority w:val="99"/>
    <w:rsid w:val="00C7188D"/>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C7188D"/>
    <w:rPr>
      <w:b/>
      <w:bCs/>
    </w:rPr>
  </w:style>
  <w:style w:type="character" w:customStyle="1" w:styleId="CommentSubjectChar">
    <w:name w:val="Comment Subject Char"/>
    <w:basedOn w:val="CommentTextChar"/>
    <w:link w:val="CommentSubject"/>
    <w:uiPriority w:val="99"/>
    <w:semiHidden/>
    <w:rsid w:val="00C7188D"/>
    <w:rPr>
      <w:rFonts w:ascii="Calibri" w:hAnsi="Calibri" w:cs="Calibri"/>
      <w:b/>
      <w:bCs/>
      <w:sz w:val="20"/>
      <w:szCs w:val="20"/>
    </w:rPr>
  </w:style>
  <w:style w:type="table" w:styleId="TableGrid">
    <w:name w:val="Table Grid"/>
    <w:basedOn w:val="TableNormal"/>
    <w:uiPriority w:val="59"/>
    <w:rsid w:val="00FB4123"/>
    <w:pPr>
      <w:spacing w:after="0" w:line="240" w:lineRule="auto"/>
    </w:pPr>
    <w:tblPr>
      <w:tblBorders>
        <w:top w:val="single" w:sz="4" w:space="0" w:color="054266" w:themeColor="text1"/>
        <w:left w:val="single" w:sz="4" w:space="0" w:color="054266" w:themeColor="text1"/>
        <w:bottom w:val="single" w:sz="4" w:space="0" w:color="054266" w:themeColor="text1"/>
        <w:right w:val="single" w:sz="4" w:space="0" w:color="054266" w:themeColor="text1"/>
        <w:insideH w:val="single" w:sz="4" w:space="0" w:color="054266" w:themeColor="text1"/>
        <w:insideV w:val="single" w:sz="4" w:space="0" w:color="054266" w:themeColor="text1"/>
      </w:tblBorders>
    </w:tblPr>
  </w:style>
  <w:style w:type="table" w:customStyle="1" w:styleId="TableGrid2">
    <w:name w:val="Table Grid2"/>
    <w:basedOn w:val="TableNormal"/>
    <w:uiPriority w:val="59"/>
    <w:rsid w:val="00FA3D0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12FCE"/>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033416">
      <w:bodyDiv w:val="1"/>
      <w:marLeft w:val="0"/>
      <w:marRight w:val="0"/>
      <w:marTop w:val="0"/>
      <w:marBottom w:val="0"/>
      <w:divBdr>
        <w:top w:val="none" w:sz="0" w:space="0" w:color="auto"/>
        <w:left w:val="none" w:sz="0" w:space="0" w:color="auto"/>
        <w:bottom w:val="none" w:sz="0" w:space="0" w:color="auto"/>
        <w:right w:val="none" w:sz="0" w:space="0" w:color="auto"/>
      </w:divBdr>
      <w:divsChild>
        <w:div w:id="1259678592">
          <w:marLeft w:val="0"/>
          <w:marRight w:val="0"/>
          <w:marTop w:val="0"/>
          <w:marBottom w:val="0"/>
          <w:divBdr>
            <w:top w:val="none" w:sz="0" w:space="0" w:color="auto"/>
            <w:left w:val="none" w:sz="0" w:space="0" w:color="auto"/>
            <w:bottom w:val="none" w:sz="0" w:space="0" w:color="auto"/>
            <w:right w:val="none" w:sz="0" w:space="0" w:color="auto"/>
          </w:divBdr>
        </w:div>
        <w:div w:id="1809585019">
          <w:marLeft w:val="0"/>
          <w:marRight w:val="0"/>
          <w:marTop w:val="0"/>
          <w:marBottom w:val="0"/>
          <w:divBdr>
            <w:top w:val="none" w:sz="0" w:space="0" w:color="auto"/>
            <w:left w:val="none" w:sz="0" w:space="0" w:color="auto"/>
            <w:bottom w:val="none" w:sz="0" w:space="0" w:color="auto"/>
            <w:right w:val="none" w:sz="0" w:space="0" w:color="auto"/>
          </w:divBdr>
        </w:div>
        <w:div w:id="1850948368">
          <w:marLeft w:val="0"/>
          <w:marRight w:val="0"/>
          <w:marTop w:val="0"/>
          <w:marBottom w:val="0"/>
          <w:divBdr>
            <w:top w:val="none" w:sz="0" w:space="0" w:color="auto"/>
            <w:left w:val="none" w:sz="0" w:space="0" w:color="auto"/>
            <w:bottom w:val="none" w:sz="0" w:space="0" w:color="auto"/>
            <w:right w:val="none" w:sz="0" w:space="0" w:color="auto"/>
          </w:divBdr>
        </w:div>
        <w:div w:id="18090833">
          <w:marLeft w:val="0"/>
          <w:marRight w:val="0"/>
          <w:marTop w:val="0"/>
          <w:marBottom w:val="0"/>
          <w:divBdr>
            <w:top w:val="none" w:sz="0" w:space="0" w:color="auto"/>
            <w:left w:val="none" w:sz="0" w:space="0" w:color="auto"/>
            <w:bottom w:val="none" w:sz="0" w:space="0" w:color="auto"/>
            <w:right w:val="none" w:sz="0" w:space="0" w:color="auto"/>
          </w:divBdr>
        </w:div>
        <w:div w:id="549877657">
          <w:marLeft w:val="0"/>
          <w:marRight w:val="0"/>
          <w:marTop w:val="0"/>
          <w:marBottom w:val="0"/>
          <w:divBdr>
            <w:top w:val="none" w:sz="0" w:space="0" w:color="auto"/>
            <w:left w:val="none" w:sz="0" w:space="0" w:color="auto"/>
            <w:bottom w:val="none" w:sz="0" w:space="0" w:color="auto"/>
            <w:right w:val="none" w:sz="0" w:space="0" w:color="auto"/>
          </w:divBdr>
        </w:div>
        <w:div w:id="1310792302">
          <w:marLeft w:val="0"/>
          <w:marRight w:val="0"/>
          <w:marTop w:val="0"/>
          <w:marBottom w:val="0"/>
          <w:divBdr>
            <w:top w:val="none" w:sz="0" w:space="0" w:color="auto"/>
            <w:left w:val="none" w:sz="0" w:space="0" w:color="auto"/>
            <w:bottom w:val="none" w:sz="0" w:space="0" w:color="auto"/>
            <w:right w:val="none" w:sz="0" w:space="0" w:color="auto"/>
          </w:divBdr>
        </w:div>
        <w:div w:id="108935356">
          <w:marLeft w:val="0"/>
          <w:marRight w:val="0"/>
          <w:marTop w:val="0"/>
          <w:marBottom w:val="0"/>
          <w:divBdr>
            <w:top w:val="none" w:sz="0" w:space="0" w:color="auto"/>
            <w:left w:val="none" w:sz="0" w:space="0" w:color="auto"/>
            <w:bottom w:val="none" w:sz="0" w:space="0" w:color="auto"/>
            <w:right w:val="none" w:sz="0" w:space="0" w:color="auto"/>
          </w:divBdr>
        </w:div>
        <w:div w:id="608900941">
          <w:marLeft w:val="0"/>
          <w:marRight w:val="0"/>
          <w:marTop w:val="0"/>
          <w:marBottom w:val="0"/>
          <w:divBdr>
            <w:top w:val="none" w:sz="0" w:space="0" w:color="auto"/>
            <w:left w:val="none" w:sz="0" w:space="0" w:color="auto"/>
            <w:bottom w:val="none" w:sz="0" w:space="0" w:color="auto"/>
            <w:right w:val="none" w:sz="0" w:space="0" w:color="auto"/>
          </w:divBdr>
        </w:div>
        <w:div w:id="1628509457">
          <w:marLeft w:val="0"/>
          <w:marRight w:val="0"/>
          <w:marTop w:val="0"/>
          <w:marBottom w:val="0"/>
          <w:divBdr>
            <w:top w:val="none" w:sz="0" w:space="0" w:color="auto"/>
            <w:left w:val="none" w:sz="0" w:space="0" w:color="auto"/>
            <w:bottom w:val="none" w:sz="0" w:space="0" w:color="auto"/>
            <w:right w:val="none" w:sz="0" w:space="0" w:color="auto"/>
          </w:divBdr>
        </w:div>
        <w:div w:id="763459271">
          <w:marLeft w:val="0"/>
          <w:marRight w:val="0"/>
          <w:marTop w:val="0"/>
          <w:marBottom w:val="0"/>
          <w:divBdr>
            <w:top w:val="none" w:sz="0" w:space="0" w:color="auto"/>
            <w:left w:val="none" w:sz="0" w:space="0" w:color="auto"/>
            <w:bottom w:val="none" w:sz="0" w:space="0" w:color="auto"/>
            <w:right w:val="none" w:sz="0" w:space="0" w:color="auto"/>
          </w:divBdr>
        </w:div>
        <w:div w:id="1398094851">
          <w:marLeft w:val="0"/>
          <w:marRight w:val="0"/>
          <w:marTop w:val="0"/>
          <w:marBottom w:val="0"/>
          <w:divBdr>
            <w:top w:val="none" w:sz="0" w:space="0" w:color="auto"/>
            <w:left w:val="none" w:sz="0" w:space="0" w:color="auto"/>
            <w:bottom w:val="none" w:sz="0" w:space="0" w:color="auto"/>
            <w:right w:val="none" w:sz="0" w:space="0" w:color="auto"/>
          </w:divBdr>
        </w:div>
        <w:div w:id="1563325048">
          <w:marLeft w:val="0"/>
          <w:marRight w:val="0"/>
          <w:marTop w:val="0"/>
          <w:marBottom w:val="0"/>
          <w:divBdr>
            <w:top w:val="none" w:sz="0" w:space="0" w:color="auto"/>
            <w:left w:val="none" w:sz="0" w:space="0" w:color="auto"/>
            <w:bottom w:val="none" w:sz="0" w:space="0" w:color="auto"/>
            <w:right w:val="none" w:sz="0" w:space="0" w:color="auto"/>
          </w:divBdr>
        </w:div>
        <w:div w:id="356396115">
          <w:marLeft w:val="0"/>
          <w:marRight w:val="0"/>
          <w:marTop w:val="0"/>
          <w:marBottom w:val="0"/>
          <w:divBdr>
            <w:top w:val="none" w:sz="0" w:space="0" w:color="auto"/>
            <w:left w:val="none" w:sz="0" w:space="0" w:color="auto"/>
            <w:bottom w:val="none" w:sz="0" w:space="0" w:color="auto"/>
            <w:right w:val="none" w:sz="0" w:space="0" w:color="auto"/>
          </w:divBdr>
        </w:div>
        <w:div w:id="195586397">
          <w:marLeft w:val="0"/>
          <w:marRight w:val="0"/>
          <w:marTop w:val="0"/>
          <w:marBottom w:val="0"/>
          <w:divBdr>
            <w:top w:val="none" w:sz="0" w:space="0" w:color="auto"/>
            <w:left w:val="none" w:sz="0" w:space="0" w:color="auto"/>
            <w:bottom w:val="none" w:sz="0" w:space="0" w:color="auto"/>
            <w:right w:val="none" w:sz="0" w:space="0" w:color="auto"/>
          </w:divBdr>
        </w:div>
        <w:div w:id="1163466719">
          <w:marLeft w:val="0"/>
          <w:marRight w:val="0"/>
          <w:marTop w:val="0"/>
          <w:marBottom w:val="0"/>
          <w:divBdr>
            <w:top w:val="none" w:sz="0" w:space="0" w:color="auto"/>
            <w:left w:val="none" w:sz="0" w:space="0" w:color="auto"/>
            <w:bottom w:val="none" w:sz="0" w:space="0" w:color="auto"/>
            <w:right w:val="none" w:sz="0" w:space="0" w:color="auto"/>
          </w:divBdr>
        </w:div>
        <w:div w:id="1284071141">
          <w:marLeft w:val="0"/>
          <w:marRight w:val="0"/>
          <w:marTop w:val="0"/>
          <w:marBottom w:val="0"/>
          <w:divBdr>
            <w:top w:val="none" w:sz="0" w:space="0" w:color="auto"/>
            <w:left w:val="none" w:sz="0" w:space="0" w:color="auto"/>
            <w:bottom w:val="none" w:sz="0" w:space="0" w:color="auto"/>
            <w:right w:val="none" w:sz="0" w:space="0" w:color="auto"/>
          </w:divBdr>
        </w:div>
        <w:div w:id="241836653">
          <w:marLeft w:val="0"/>
          <w:marRight w:val="0"/>
          <w:marTop w:val="0"/>
          <w:marBottom w:val="0"/>
          <w:divBdr>
            <w:top w:val="none" w:sz="0" w:space="0" w:color="auto"/>
            <w:left w:val="none" w:sz="0" w:space="0" w:color="auto"/>
            <w:bottom w:val="none" w:sz="0" w:space="0" w:color="auto"/>
            <w:right w:val="none" w:sz="0" w:space="0" w:color="auto"/>
          </w:divBdr>
        </w:div>
      </w:divsChild>
    </w:div>
    <w:div w:id="1187019040">
      <w:bodyDiv w:val="1"/>
      <w:marLeft w:val="0"/>
      <w:marRight w:val="0"/>
      <w:marTop w:val="0"/>
      <w:marBottom w:val="0"/>
      <w:divBdr>
        <w:top w:val="none" w:sz="0" w:space="0" w:color="auto"/>
        <w:left w:val="none" w:sz="0" w:space="0" w:color="auto"/>
        <w:bottom w:val="none" w:sz="0" w:space="0" w:color="auto"/>
        <w:right w:val="none" w:sz="0" w:space="0" w:color="auto"/>
      </w:divBdr>
      <w:divsChild>
        <w:div w:id="684291128">
          <w:marLeft w:val="0"/>
          <w:marRight w:val="0"/>
          <w:marTop w:val="0"/>
          <w:marBottom w:val="0"/>
          <w:divBdr>
            <w:top w:val="none" w:sz="0" w:space="0" w:color="auto"/>
            <w:left w:val="none" w:sz="0" w:space="0" w:color="auto"/>
            <w:bottom w:val="none" w:sz="0" w:space="0" w:color="auto"/>
            <w:right w:val="none" w:sz="0" w:space="0" w:color="auto"/>
          </w:divBdr>
        </w:div>
        <w:div w:id="672992451">
          <w:marLeft w:val="0"/>
          <w:marRight w:val="0"/>
          <w:marTop w:val="0"/>
          <w:marBottom w:val="0"/>
          <w:divBdr>
            <w:top w:val="none" w:sz="0" w:space="0" w:color="auto"/>
            <w:left w:val="none" w:sz="0" w:space="0" w:color="auto"/>
            <w:bottom w:val="none" w:sz="0" w:space="0" w:color="auto"/>
            <w:right w:val="none" w:sz="0" w:space="0" w:color="auto"/>
          </w:divBdr>
        </w:div>
        <w:div w:id="377511115">
          <w:marLeft w:val="0"/>
          <w:marRight w:val="0"/>
          <w:marTop w:val="0"/>
          <w:marBottom w:val="0"/>
          <w:divBdr>
            <w:top w:val="none" w:sz="0" w:space="0" w:color="auto"/>
            <w:left w:val="none" w:sz="0" w:space="0" w:color="auto"/>
            <w:bottom w:val="none" w:sz="0" w:space="0" w:color="auto"/>
            <w:right w:val="none" w:sz="0" w:space="0" w:color="auto"/>
          </w:divBdr>
        </w:div>
        <w:div w:id="2087847907">
          <w:marLeft w:val="0"/>
          <w:marRight w:val="0"/>
          <w:marTop w:val="0"/>
          <w:marBottom w:val="0"/>
          <w:divBdr>
            <w:top w:val="none" w:sz="0" w:space="0" w:color="auto"/>
            <w:left w:val="none" w:sz="0" w:space="0" w:color="auto"/>
            <w:bottom w:val="none" w:sz="0" w:space="0" w:color="auto"/>
            <w:right w:val="none" w:sz="0" w:space="0" w:color="auto"/>
          </w:divBdr>
        </w:div>
        <w:div w:id="318269508">
          <w:marLeft w:val="0"/>
          <w:marRight w:val="0"/>
          <w:marTop w:val="0"/>
          <w:marBottom w:val="0"/>
          <w:divBdr>
            <w:top w:val="none" w:sz="0" w:space="0" w:color="auto"/>
            <w:left w:val="none" w:sz="0" w:space="0" w:color="auto"/>
            <w:bottom w:val="none" w:sz="0" w:space="0" w:color="auto"/>
            <w:right w:val="none" w:sz="0" w:space="0" w:color="auto"/>
          </w:divBdr>
        </w:div>
        <w:div w:id="834881460">
          <w:marLeft w:val="0"/>
          <w:marRight w:val="0"/>
          <w:marTop w:val="0"/>
          <w:marBottom w:val="0"/>
          <w:divBdr>
            <w:top w:val="none" w:sz="0" w:space="0" w:color="auto"/>
            <w:left w:val="none" w:sz="0" w:space="0" w:color="auto"/>
            <w:bottom w:val="none" w:sz="0" w:space="0" w:color="auto"/>
            <w:right w:val="none" w:sz="0" w:space="0" w:color="auto"/>
          </w:divBdr>
        </w:div>
        <w:div w:id="1936209206">
          <w:marLeft w:val="0"/>
          <w:marRight w:val="0"/>
          <w:marTop w:val="0"/>
          <w:marBottom w:val="0"/>
          <w:divBdr>
            <w:top w:val="none" w:sz="0" w:space="0" w:color="auto"/>
            <w:left w:val="none" w:sz="0" w:space="0" w:color="auto"/>
            <w:bottom w:val="none" w:sz="0" w:space="0" w:color="auto"/>
            <w:right w:val="none" w:sz="0" w:space="0" w:color="auto"/>
          </w:divBdr>
        </w:div>
        <w:div w:id="1804929323">
          <w:marLeft w:val="0"/>
          <w:marRight w:val="0"/>
          <w:marTop w:val="0"/>
          <w:marBottom w:val="0"/>
          <w:divBdr>
            <w:top w:val="none" w:sz="0" w:space="0" w:color="auto"/>
            <w:left w:val="none" w:sz="0" w:space="0" w:color="auto"/>
            <w:bottom w:val="none" w:sz="0" w:space="0" w:color="auto"/>
            <w:right w:val="none" w:sz="0" w:space="0" w:color="auto"/>
          </w:divBdr>
        </w:div>
        <w:div w:id="1221675512">
          <w:marLeft w:val="0"/>
          <w:marRight w:val="0"/>
          <w:marTop w:val="0"/>
          <w:marBottom w:val="0"/>
          <w:divBdr>
            <w:top w:val="none" w:sz="0" w:space="0" w:color="auto"/>
            <w:left w:val="none" w:sz="0" w:space="0" w:color="auto"/>
            <w:bottom w:val="none" w:sz="0" w:space="0" w:color="auto"/>
            <w:right w:val="none" w:sz="0" w:space="0" w:color="auto"/>
          </w:divBdr>
        </w:div>
        <w:div w:id="1604336493">
          <w:marLeft w:val="0"/>
          <w:marRight w:val="0"/>
          <w:marTop w:val="0"/>
          <w:marBottom w:val="0"/>
          <w:divBdr>
            <w:top w:val="none" w:sz="0" w:space="0" w:color="auto"/>
            <w:left w:val="none" w:sz="0" w:space="0" w:color="auto"/>
            <w:bottom w:val="none" w:sz="0" w:space="0" w:color="auto"/>
            <w:right w:val="none" w:sz="0" w:space="0" w:color="auto"/>
          </w:divBdr>
        </w:div>
        <w:div w:id="1623147257">
          <w:marLeft w:val="0"/>
          <w:marRight w:val="0"/>
          <w:marTop w:val="0"/>
          <w:marBottom w:val="0"/>
          <w:divBdr>
            <w:top w:val="none" w:sz="0" w:space="0" w:color="auto"/>
            <w:left w:val="none" w:sz="0" w:space="0" w:color="auto"/>
            <w:bottom w:val="none" w:sz="0" w:space="0" w:color="auto"/>
            <w:right w:val="none" w:sz="0" w:space="0" w:color="auto"/>
          </w:divBdr>
        </w:div>
        <w:div w:id="1564290279">
          <w:marLeft w:val="0"/>
          <w:marRight w:val="0"/>
          <w:marTop w:val="0"/>
          <w:marBottom w:val="0"/>
          <w:divBdr>
            <w:top w:val="none" w:sz="0" w:space="0" w:color="auto"/>
            <w:left w:val="none" w:sz="0" w:space="0" w:color="auto"/>
            <w:bottom w:val="none" w:sz="0" w:space="0" w:color="auto"/>
            <w:right w:val="none" w:sz="0" w:space="0" w:color="auto"/>
          </w:divBdr>
        </w:div>
        <w:div w:id="659692651">
          <w:marLeft w:val="0"/>
          <w:marRight w:val="0"/>
          <w:marTop w:val="0"/>
          <w:marBottom w:val="0"/>
          <w:divBdr>
            <w:top w:val="none" w:sz="0" w:space="0" w:color="auto"/>
            <w:left w:val="none" w:sz="0" w:space="0" w:color="auto"/>
            <w:bottom w:val="none" w:sz="0" w:space="0" w:color="auto"/>
            <w:right w:val="none" w:sz="0" w:space="0" w:color="auto"/>
          </w:divBdr>
        </w:div>
        <w:div w:id="1453204100">
          <w:marLeft w:val="0"/>
          <w:marRight w:val="0"/>
          <w:marTop w:val="0"/>
          <w:marBottom w:val="0"/>
          <w:divBdr>
            <w:top w:val="none" w:sz="0" w:space="0" w:color="auto"/>
            <w:left w:val="none" w:sz="0" w:space="0" w:color="auto"/>
            <w:bottom w:val="none" w:sz="0" w:space="0" w:color="auto"/>
            <w:right w:val="none" w:sz="0" w:space="0" w:color="auto"/>
          </w:divBdr>
        </w:div>
        <w:div w:id="1180581251">
          <w:marLeft w:val="0"/>
          <w:marRight w:val="0"/>
          <w:marTop w:val="0"/>
          <w:marBottom w:val="0"/>
          <w:divBdr>
            <w:top w:val="none" w:sz="0" w:space="0" w:color="auto"/>
            <w:left w:val="none" w:sz="0" w:space="0" w:color="auto"/>
            <w:bottom w:val="none" w:sz="0" w:space="0" w:color="auto"/>
            <w:right w:val="none" w:sz="0" w:space="0" w:color="auto"/>
          </w:divBdr>
        </w:div>
        <w:div w:id="1729841514">
          <w:marLeft w:val="0"/>
          <w:marRight w:val="0"/>
          <w:marTop w:val="0"/>
          <w:marBottom w:val="0"/>
          <w:divBdr>
            <w:top w:val="none" w:sz="0" w:space="0" w:color="auto"/>
            <w:left w:val="none" w:sz="0" w:space="0" w:color="auto"/>
            <w:bottom w:val="none" w:sz="0" w:space="0" w:color="auto"/>
            <w:right w:val="none" w:sz="0" w:space="0" w:color="auto"/>
          </w:divBdr>
        </w:div>
        <w:div w:id="1942685985">
          <w:marLeft w:val="0"/>
          <w:marRight w:val="0"/>
          <w:marTop w:val="0"/>
          <w:marBottom w:val="0"/>
          <w:divBdr>
            <w:top w:val="none" w:sz="0" w:space="0" w:color="auto"/>
            <w:left w:val="none" w:sz="0" w:space="0" w:color="auto"/>
            <w:bottom w:val="none" w:sz="0" w:space="0" w:color="auto"/>
            <w:right w:val="none" w:sz="0" w:space="0" w:color="auto"/>
          </w:divBdr>
        </w:div>
      </w:divsChild>
    </w:div>
    <w:div w:id="1514340775">
      <w:bodyDiv w:val="1"/>
      <w:marLeft w:val="0"/>
      <w:marRight w:val="0"/>
      <w:marTop w:val="0"/>
      <w:marBottom w:val="0"/>
      <w:divBdr>
        <w:top w:val="none" w:sz="0" w:space="0" w:color="auto"/>
        <w:left w:val="none" w:sz="0" w:space="0" w:color="auto"/>
        <w:bottom w:val="none" w:sz="0" w:space="0" w:color="auto"/>
        <w:right w:val="none" w:sz="0" w:space="0" w:color="auto"/>
      </w:divBdr>
      <w:divsChild>
        <w:div w:id="1066949848">
          <w:marLeft w:val="0"/>
          <w:marRight w:val="0"/>
          <w:marTop w:val="0"/>
          <w:marBottom w:val="0"/>
          <w:divBdr>
            <w:top w:val="none" w:sz="0" w:space="0" w:color="auto"/>
            <w:left w:val="none" w:sz="0" w:space="0" w:color="auto"/>
            <w:bottom w:val="none" w:sz="0" w:space="0" w:color="auto"/>
            <w:right w:val="none" w:sz="0" w:space="0" w:color="auto"/>
          </w:divBdr>
        </w:div>
        <w:div w:id="1726219656">
          <w:marLeft w:val="0"/>
          <w:marRight w:val="0"/>
          <w:marTop w:val="0"/>
          <w:marBottom w:val="0"/>
          <w:divBdr>
            <w:top w:val="none" w:sz="0" w:space="0" w:color="auto"/>
            <w:left w:val="none" w:sz="0" w:space="0" w:color="auto"/>
            <w:bottom w:val="none" w:sz="0" w:space="0" w:color="auto"/>
            <w:right w:val="none" w:sz="0" w:space="0" w:color="auto"/>
          </w:divBdr>
        </w:div>
        <w:div w:id="1173759032">
          <w:marLeft w:val="0"/>
          <w:marRight w:val="0"/>
          <w:marTop w:val="0"/>
          <w:marBottom w:val="0"/>
          <w:divBdr>
            <w:top w:val="none" w:sz="0" w:space="0" w:color="auto"/>
            <w:left w:val="none" w:sz="0" w:space="0" w:color="auto"/>
            <w:bottom w:val="none" w:sz="0" w:space="0" w:color="auto"/>
            <w:right w:val="none" w:sz="0" w:space="0" w:color="auto"/>
          </w:divBdr>
        </w:div>
        <w:div w:id="62878592">
          <w:marLeft w:val="0"/>
          <w:marRight w:val="0"/>
          <w:marTop w:val="0"/>
          <w:marBottom w:val="0"/>
          <w:divBdr>
            <w:top w:val="none" w:sz="0" w:space="0" w:color="auto"/>
            <w:left w:val="none" w:sz="0" w:space="0" w:color="auto"/>
            <w:bottom w:val="none" w:sz="0" w:space="0" w:color="auto"/>
            <w:right w:val="none" w:sz="0" w:space="0" w:color="auto"/>
          </w:divBdr>
        </w:div>
        <w:div w:id="385496827">
          <w:marLeft w:val="0"/>
          <w:marRight w:val="0"/>
          <w:marTop w:val="0"/>
          <w:marBottom w:val="0"/>
          <w:divBdr>
            <w:top w:val="none" w:sz="0" w:space="0" w:color="auto"/>
            <w:left w:val="none" w:sz="0" w:space="0" w:color="auto"/>
            <w:bottom w:val="none" w:sz="0" w:space="0" w:color="auto"/>
            <w:right w:val="none" w:sz="0" w:space="0" w:color="auto"/>
          </w:divBdr>
        </w:div>
        <w:div w:id="1505508009">
          <w:marLeft w:val="0"/>
          <w:marRight w:val="0"/>
          <w:marTop w:val="0"/>
          <w:marBottom w:val="0"/>
          <w:divBdr>
            <w:top w:val="none" w:sz="0" w:space="0" w:color="auto"/>
            <w:left w:val="none" w:sz="0" w:space="0" w:color="auto"/>
            <w:bottom w:val="none" w:sz="0" w:space="0" w:color="auto"/>
            <w:right w:val="none" w:sz="0" w:space="0" w:color="auto"/>
          </w:divBdr>
        </w:div>
        <w:div w:id="253443952">
          <w:marLeft w:val="0"/>
          <w:marRight w:val="0"/>
          <w:marTop w:val="0"/>
          <w:marBottom w:val="0"/>
          <w:divBdr>
            <w:top w:val="none" w:sz="0" w:space="0" w:color="auto"/>
            <w:left w:val="none" w:sz="0" w:space="0" w:color="auto"/>
            <w:bottom w:val="none" w:sz="0" w:space="0" w:color="auto"/>
            <w:right w:val="none" w:sz="0" w:space="0" w:color="auto"/>
          </w:divBdr>
        </w:div>
        <w:div w:id="953052003">
          <w:marLeft w:val="0"/>
          <w:marRight w:val="0"/>
          <w:marTop w:val="0"/>
          <w:marBottom w:val="0"/>
          <w:divBdr>
            <w:top w:val="none" w:sz="0" w:space="0" w:color="auto"/>
            <w:left w:val="none" w:sz="0" w:space="0" w:color="auto"/>
            <w:bottom w:val="none" w:sz="0" w:space="0" w:color="auto"/>
            <w:right w:val="none" w:sz="0" w:space="0" w:color="auto"/>
          </w:divBdr>
        </w:div>
        <w:div w:id="1481342479">
          <w:marLeft w:val="0"/>
          <w:marRight w:val="0"/>
          <w:marTop w:val="0"/>
          <w:marBottom w:val="0"/>
          <w:divBdr>
            <w:top w:val="none" w:sz="0" w:space="0" w:color="auto"/>
            <w:left w:val="none" w:sz="0" w:space="0" w:color="auto"/>
            <w:bottom w:val="none" w:sz="0" w:space="0" w:color="auto"/>
            <w:right w:val="none" w:sz="0" w:space="0" w:color="auto"/>
          </w:divBdr>
        </w:div>
        <w:div w:id="574165747">
          <w:marLeft w:val="0"/>
          <w:marRight w:val="0"/>
          <w:marTop w:val="0"/>
          <w:marBottom w:val="0"/>
          <w:divBdr>
            <w:top w:val="none" w:sz="0" w:space="0" w:color="auto"/>
            <w:left w:val="none" w:sz="0" w:space="0" w:color="auto"/>
            <w:bottom w:val="none" w:sz="0" w:space="0" w:color="auto"/>
            <w:right w:val="none" w:sz="0" w:space="0" w:color="auto"/>
          </w:divBdr>
        </w:div>
        <w:div w:id="1896893829">
          <w:marLeft w:val="0"/>
          <w:marRight w:val="0"/>
          <w:marTop w:val="0"/>
          <w:marBottom w:val="0"/>
          <w:divBdr>
            <w:top w:val="none" w:sz="0" w:space="0" w:color="auto"/>
            <w:left w:val="none" w:sz="0" w:space="0" w:color="auto"/>
            <w:bottom w:val="none" w:sz="0" w:space="0" w:color="auto"/>
            <w:right w:val="none" w:sz="0" w:space="0" w:color="auto"/>
          </w:divBdr>
        </w:div>
        <w:div w:id="2113546873">
          <w:marLeft w:val="0"/>
          <w:marRight w:val="0"/>
          <w:marTop w:val="0"/>
          <w:marBottom w:val="0"/>
          <w:divBdr>
            <w:top w:val="none" w:sz="0" w:space="0" w:color="auto"/>
            <w:left w:val="none" w:sz="0" w:space="0" w:color="auto"/>
            <w:bottom w:val="none" w:sz="0" w:space="0" w:color="auto"/>
            <w:right w:val="none" w:sz="0" w:space="0" w:color="auto"/>
          </w:divBdr>
        </w:div>
        <w:div w:id="137769341">
          <w:marLeft w:val="0"/>
          <w:marRight w:val="0"/>
          <w:marTop w:val="0"/>
          <w:marBottom w:val="0"/>
          <w:divBdr>
            <w:top w:val="none" w:sz="0" w:space="0" w:color="auto"/>
            <w:left w:val="none" w:sz="0" w:space="0" w:color="auto"/>
            <w:bottom w:val="none" w:sz="0" w:space="0" w:color="auto"/>
            <w:right w:val="none" w:sz="0" w:space="0" w:color="auto"/>
          </w:divBdr>
        </w:div>
        <w:div w:id="363991712">
          <w:marLeft w:val="0"/>
          <w:marRight w:val="0"/>
          <w:marTop w:val="0"/>
          <w:marBottom w:val="0"/>
          <w:divBdr>
            <w:top w:val="none" w:sz="0" w:space="0" w:color="auto"/>
            <w:left w:val="none" w:sz="0" w:space="0" w:color="auto"/>
            <w:bottom w:val="none" w:sz="0" w:space="0" w:color="auto"/>
            <w:right w:val="none" w:sz="0" w:space="0" w:color="auto"/>
          </w:divBdr>
        </w:div>
        <w:div w:id="127164692">
          <w:marLeft w:val="0"/>
          <w:marRight w:val="0"/>
          <w:marTop w:val="0"/>
          <w:marBottom w:val="0"/>
          <w:divBdr>
            <w:top w:val="none" w:sz="0" w:space="0" w:color="auto"/>
            <w:left w:val="none" w:sz="0" w:space="0" w:color="auto"/>
            <w:bottom w:val="none" w:sz="0" w:space="0" w:color="auto"/>
            <w:right w:val="none" w:sz="0" w:space="0" w:color="auto"/>
          </w:divBdr>
        </w:div>
        <w:div w:id="1950041051">
          <w:marLeft w:val="0"/>
          <w:marRight w:val="0"/>
          <w:marTop w:val="0"/>
          <w:marBottom w:val="0"/>
          <w:divBdr>
            <w:top w:val="none" w:sz="0" w:space="0" w:color="auto"/>
            <w:left w:val="none" w:sz="0" w:space="0" w:color="auto"/>
            <w:bottom w:val="none" w:sz="0" w:space="0" w:color="auto"/>
            <w:right w:val="none" w:sz="0" w:space="0" w:color="auto"/>
          </w:divBdr>
        </w:div>
        <w:div w:id="1458789758">
          <w:marLeft w:val="0"/>
          <w:marRight w:val="0"/>
          <w:marTop w:val="0"/>
          <w:marBottom w:val="0"/>
          <w:divBdr>
            <w:top w:val="none" w:sz="0" w:space="0" w:color="auto"/>
            <w:left w:val="none" w:sz="0" w:space="0" w:color="auto"/>
            <w:bottom w:val="none" w:sz="0" w:space="0" w:color="auto"/>
            <w:right w:val="none" w:sz="0" w:space="0" w:color="auto"/>
          </w:divBdr>
        </w:div>
      </w:divsChild>
    </w:div>
    <w:div w:id="1595899725">
      <w:bodyDiv w:val="1"/>
      <w:marLeft w:val="0"/>
      <w:marRight w:val="0"/>
      <w:marTop w:val="0"/>
      <w:marBottom w:val="0"/>
      <w:divBdr>
        <w:top w:val="none" w:sz="0" w:space="0" w:color="auto"/>
        <w:left w:val="none" w:sz="0" w:space="0" w:color="auto"/>
        <w:bottom w:val="none" w:sz="0" w:space="0" w:color="auto"/>
        <w:right w:val="none" w:sz="0" w:space="0" w:color="auto"/>
      </w:divBdr>
      <w:divsChild>
        <w:div w:id="289014522">
          <w:marLeft w:val="0"/>
          <w:marRight w:val="0"/>
          <w:marTop w:val="0"/>
          <w:marBottom w:val="0"/>
          <w:divBdr>
            <w:top w:val="none" w:sz="0" w:space="0" w:color="auto"/>
            <w:left w:val="none" w:sz="0" w:space="0" w:color="auto"/>
            <w:bottom w:val="none" w:sz="0" w:space="0" w:color="auto"/>
            <w:right w:val="none" w:sz="0" w:space="0" w:color="auto"/>
          </w:divBdr>
        </w:div>
        <w:div w:id="820000006">
          <w:marLeft w:val="0"/>
          <w:marRight w:val="0"/>
          <w:marTop w:val="0"/>
          <w:marBottom w:val="0"/>
          <w:divBdr>
            <w:top w:val="none" w:sz="0" w:space="0" w:color="auto"/>
            <w:left w:val="none" w:sz="0" w:space="0" w:color="auto"/>
            <w:bottom w:val="none" w:sz="0" w:space="0" w:color="auto"/>
            <w:right w:val="none" w:sz="0" w:space="0" w:color="auto"/>
          </w:divBdr>
        </w:div>
        <w:div w:id="1101342510">
          <w:marLeft w:val="0"/>
          <w:marRight w:val="0"/>
          <w:marTop w:val="0"/>
          <w:marBottom w:val="0"/>
          <w:divBdr>
            <w:top w:val="none" w:sz="0" w:space="0" w:color="auto"/>
            <w:left w:val="none" w:sz="0" w:space="0" w:color="auto"/>
            <w:bottom w:val="none" w:sz="0" w:space="0" w:color="auto"/>
            <w:right w:val="none" w:sz="0" w:space="0" w:color="auto"/>
          </w:divBdr>
        </w:div>
        <w:div w:id="472403685">
          <w:marLeft w:val="0"/>
          <w:marRight w:val="0"/>
          <w:marTop w:val="0"/>
          <w:marBottom w:val="0"/>
          <w:divBdr>
            <w:top w:val="none" w:sz="0" w:space="0" w:color="auto"/>
            <w:left w:val="none" w:sz="0" w:space="0" w:color="auto"/>
            <w:bottom w:val="none" w:sz="0" w:space="0" w:color="auto"/>
            <w:right w:val="none" w:sz="0" w:space="0" w:color="auto"/>
          </w:divBdr>
        </w:div>
        <w:div w:id="1072967186">
          <w:marLeft w:val="0"/>
          <w:marRight w:val="0"/>
          <w:marTop w:val="0"/>
          <w:marBottom w:val="0"/>
          <w:divBdr>
            <w:top w:val="none" w:sz="0" w:space="0" w:color="auto"/>
            <w:left w:val="none" w:sz="0" w:space="0" w:color="auto"/>
            <w:bottom w:val="none" w:sz="0" w:space="0" w:color="auto"/>
            <w:right w:val="none" w:sz="0" w:space="0" w:color="auto"/>
          </w:divBdr>
        </w:div>
        <w:div w:id="1972393152">
          <w:marLeft w:val="0"/>
          <w:marRight w:val="0"/>
          <w:marTop w:val="0"/>
          <w:marBottom w:val="0"/>
          <w:divBdr>
            <w:top w:val="none" w:sz="0" w:space="0" w:color="auto"/>
            <w:left w:val="none" w:sz="0" w:space="0" w:color="auto"/>
            <w:bottom w:val="none" w:sz="0" w:space="0" w:color="auto"/>
            <w:right w:val="none" w:sz="0" w:space="0" w:color="auto"/>
          </w:divBdr>
        </w:div>
        <w:div w:id="1546327212">
          <w:marLeft w:val="0"/>
          <w:marRight w:val="0"/>
          <w:marTop w:val="0"/>
          <w:marBottom w:val="0"/>
          <w:divBdr>
            <w:top w:val="none" w:sz="0" w:space="0" w:color="auto"/>
            <w:left w:val="none" w:sz="0" w:space="0" w:color="auto"/>
            <w:bottom w:val="none" w:sz="0" w:space="0" w:color="auto"/>
            <w:right w:val="none" w:sz="0" w:space="0" w:color="auto"/>
          </w:divBdr>
        </w:div>
        <w:div w:id="181020941">
          <w:marLeft w:val="0"/>
          <w:marRight w:val="0"/>
          <w:marTop w:val="0"/>
          <w:marBottom w:val="0"/>
          <w:divBdr>
            <w:top w:val="none" w:sz="0" w:space="0" w:color="auto"/>
            <w:left w:val="none" w:sz="0" w:space="0" w:color="auto"/>
            <w:bottom w:val="none" w:sz="0" w:space="0" w:color="auto"/>
            <w:right w:val="none" w:sz="0" w:space="0" w:color="auto"/>
          </w:divBdr>
        </w:div>
        <w:div w:id="1935432769">
          <w:marLeft w:val="0"/>
          <w:marRight w:val="0"/>
          <w:marTop w:val="0"/>
          <w:marBottom w:val="0"/>
          <w:divBdr>
            <w:top w:val="none" w:sz="0" w:space="0" w:color="auto"/>
            <w:left w:val="none" w:sz="0" w:space="0" w:color="auto"/>
            <w:bottom w:val="none" w:sz="0" w:space="0" w:color="auto"/>
            <w:right w:val="none" w:sz="0" w:space="0" w:color="auto"/>
          </w:divBdr>
        </w:div>
        <w:div w:id="1485853205">
          <w:marLeft w:val="0"/>
          <w:marRight w:val="0"/>
          <w:marTop w:val="0"/>
          <w:marBottom w:val="0"/>
          <w:divBdr>
            <w:top w:val="none" w:sz="0" w:space="0" w:color="auto"/>
            <w:left w:val="none" w:sz="0" w:space="0" w:color="auto"/>
            <w:bottom w:val="none" w:sz="0" w:space="0" w:color="auto"/>
            <w:right w:val="none" w:sz="0" w:space="0" w:color="auto"/>
          </w:divBdr>
        </w:div>
        <w:div w:id="160389540">
          <w:marLeft w:val="0"/>
          <w:marRight w:val="0"/>
          <w:marTop w:val="0"/>
          <w:marBottom w:val="0"/>
          <w:divBdr>
            <w:top w:val="none" w:sz="0" w:space="0" w:color="auto"/>
            <w:left w:val="none" w:sz="0" w:space="0" w:color="auto"/>
            <w:bottom w:val="none" w:sz="0" w:space="0" w:color="auto"/>
            <w:right w:val="none" w:sz="0" w:space="0" w:color="auto"/>
          </w:divBdr>
        </w:div>
        <w:div w:id="511187937">
          <w:marLeft w:val="0"/>
          <w:marRight w:val="0"/>
          <w:marTop w:val="0"/>
          <w:marBottom w:val="0"/>
          <w:divBdr>
            <w:top w:val="none" w:sz="0" w:space="0" w:color="auto"/>
            <w:left w:val="none" w:sz="0" w:space="0" w:color="auto"/>
            <w:bottom w:val="none" w:sz="0" w:space="0" w:color="auto"/>
            <w:right w:val="none" w:sz="0" w:space="0" w:color="auto"/>
          </w:divBdr>
        </w:div>
        <w:div w:id="498540145">
          <w:marLeft w:val="0"/>
          <w:marRight w:val="0"/>
          <w:marTop w:val="0"/>
          <w:marBottom w:val="0"/>
          <w:divBdr>
            <w:top w:val="none" w:sz="0" w:space="0" w:color="auto"/>
            <w:left w:val="none" w:sz="0" w:space="0" w:color="auto"/>
            <w:bottom w:val="none" w:sz="0" w:space="0" w:color="auto"/>
            <w:right w:val="none" w:sz="0" w:space="0" w:color="auto"/>
          </w:divBdr>
        </w:div>
        <w:div w:id="1848598874">
          <w:marLeft w:val="0"/>
          <w:marRight w:val="0"/>
          <w:marTop w:val="0"/>
          <w:marBottom w:val="0"/>
          <w:divBdr>
            <w:top w:val="none" w:sz="0" w:space="0" w:color="auto"/>
            <w:left w:val="none" w:sz="0" w:space="0" w:color="auto"/>
            <w:bottom w:val="none" w:sz="0" w:space="0" w:color="auto"/>
            <w:right w:val="none" w:sz="0" w:space="0" w:color="auto"/>
          </w:divBdr>
        </w:div>
        <w:div w:id="1719082745">
          <w:marLeft w:val="0"/>
          <w:marRight w:val="0"/>
          <w:marTop w:val="0"/>
          <w:marBottom w:val="0"/>
          <w:divBdr>
            <w:top w:val="none" w:sz="0" w:space="0" w:color="auto"/>
            <w:left w:val="none" w:sz="0" w:space="0" w:color="auto"/>
            <w:bottom w:val="none" w:sz="0" w:space="0" w:color="auto"/>
            <w:right w:val="none" w:sz="0" w:space="0" w:color="auto"/>
          </w:divBdr>
        </w:div>
        <w:div w:id="1384987014">
          <w:marLeft w:val="0"/>
          <w:marRight w:val="0"/>
          <w:marTop w:val="0"/>
          <w:marBottom w:val="0"/>
          <w:divBdr>
            <w:top w:val="none" w:sz="0" w:space="0" w:color="auto"/>
            <w:left w:val="none" w:sz="0" w:space="0" w:color="auto"/>
            <w:bottom w:val="none" w:sz="0" w:space="0" w:color="auto"/>
            <w:right w:val="none" w:sz="0" w:space="0" w:color="auto"/>
          </w:divBdr>
        </w:div>
        <w:div w:id="1829131756">
          <w:marLeft w:val="0"/>
          <w:marRight w:val="0"/>
          <w:marTop w:val="0"/>
          <w:marBottom w:val="0"/>
          <w:divBdr>
            <w:top w:val="none" w:sz="0" w:space="0" w:color="auto"/>
            <w:left w:val="none" w:sz="0" w:space="0" w:color="auto"/>
            <w:bottom w:val="none" w:sz="0" w:space="0" w:color="auto"/>
            <w:right w:val="none" w:sz="0" w:space="0" w:color="auto"/>
          </w:divBdr>
        </w:div>
      </w:divsChild>
    </w:div>
    <w:div w:id="1829900115">
      <w:bodyDiv w:val="1"/>
      <w:marLeft w:val="0"/>
      <w:marRight w:val="0"/>
      <w:marTop w:val="0"/>
      <w:marBottom w:val="0"/>
      <w:divBdr>
        <w:top w:val="none" w:sz="0" w:space="0" w:color="auto"/>
        <w:left w:val="none" w:sz="0" w:space="0" w:color="auto"/>
        <w:bottom w:val="none" w:sz="0" w:space="0" w:color="auto"/>
        <w:right w:val="none" w:sz="0" w:space="0" w:color="auto"/>
      </w:divBdr>
      <w:divsChild>
        <w:div w:id="301426727">
          <w:marLeft w:val="0"/>
          <w:marRight w:val="0"/>
          <w:marTop w:val="0"/>
          <w:marBottom w:val="0"/>
          <w:divBdr>
            <w:top w:val="none" w:sz="0" w:space="0" w:color="auto"/>
            <w:left w:val="none" w:sz="0" w:space="0" w:color="auto"/>
            <w:bottom w:val="none" w:sz="0" w:space="0" w:color="auto"/>
            <w:right w:val="none" w:sz="0" w:space="0" w:color="auto"/>
          </w:divBdr>
        </w:div>
        <w:div w:id="1009528974">
          <w:marLeft w:val="0"/>
          <w:marRight w:val="0"/>
          <w:marTop w:val="0"/>
          <w:marBottom w:val="0"/>
          <w:divBdr>
            <w:top w:val="none" w:sz="0" w:space="0" w:color="auto"/>
            <w:left w:val="none" w:sz="0" w:space="0" w:color="auto"/>
            <w:bottom w:val="none" w:sz="0" w:space="0" w:color="auto"/>
            <w:right w:val="none" w:sz="0" w:space="0" w:color="auto"/>
          </w:divBdr>
        </w:div>
        <w:div w:id="1381250911">
          <w:marLeft w:val="0"/>
          <w:marRight w:val="0"/>
          <w:marTop w:val="0"/>
          <w:marBottom w:val="0"/>
          <w:divBdr>
            <w:top w:val="none" w:sz="0" w:space="0" w:color="auto"/>
            <w:left w:val="none" w:sz="0" w:space="0" w:color="auto"/>
            <w:bottom w:val="none" w:sz="0" w:space="0" w:color="auto"/>
            <w:right w:val="none" w:sz="0" w:space="0" w:color="auto"/>
          </w:divBdr>
        </w:div>
        <w:div w:id="1240869124">
          <w:marLeft w:val="0"/>
          <w:marRight w:val="0"/>
          <w:marTop w:val="0"/>
          <w:marBottom w:val="0"/>
          <w:divBdr>
            <w:top w:val="none" w:sz="0" w:space="0" w:color="auto"/>
            <w:left w:val="none" w:sz="0" w:space="0" w:color="auto"/>
            <w:bottom w:val="none" w:sz="0" w:space="0" w:color="auto"/>
            <w:right w:val="none" w:sz="0" w:space="0" w:color="auto"/>
          </w:divBdr>
        </w:div>
        <w:div w:id="133836251">
          <w:marLeft w:val="0"/>
          <w:marRight w:val="0"/>
          <w:marTop w:val="0"/>
          <w:marBottom w:val="0"/>
          <w:divBdr>
            <w:top w:val="none" w:sz="0" w:space="0" w:color="auto"/>
            <w:left w:val="none" w:sz="0" w:space="0" w:color="auto"/>
            <w:bottom w:val="none" w:sz="0" w:space="0" w:color="auto"/>
            <w:right w:val="none" w:sz="0" w:space="0" w:color="auto"/>
          </w:divBdr>
        </w:div>
        <w:div w:id="775098119">
          <w:marLeft w:val="0"/>
          <w:marRight w:val="0"/>
          <w:marTop w:val="0"/>
          <w:marBottom w:val="0"/>
          <w:divBdr>
            <w:top w:val="none" w:sz="0" w:space="0" w:color="auto"/>
            <w:left w:val="none" w:sz="0" w:space="0" w:color="auto"/>
            <w:bottom w:val="none" w:sz="0" w:space="0" w:color="auto"/>
            <w:right w:val="none" w:sz="0" w:space="0" w:color="auto"/>
          </w:divBdr>
        </w:div>
        <w:div w:id="515507398">
          <w:marLeft w:val="0"/>
          <w:marRight w:val="0"/>
          <w:marTop w:val="0"/>
          <w:marBottom w:val="0"/>
          <w:divBdr>
            <w:top w:val="none" w:sz="0" w:space="0" w:color="auto"/>
            <w:left w:val="none" w:sz="0" w:space="0" w:color="auto"/>
            <w:bottom w:val="none" w:sz="0" w:space="0" w:color="auto"/>
            <w:right w:val="none" w:sz="0" w:space="0" w:color="auto"/>
          </w:divBdr>
        </w:div>
        <w:div w:id="592666022">
          <w:marLeft w:val="0"/>
          <w:marRight w:val="0"/>
          <w:marTop w:val="0"/>
          <w:marBottom w:val="0"/>
          <w:divBdr>
            <w:top w:val="none" w:sz="0" w:space="0" w:color="auto"/>
            <w:left w:val="none" w:sz="0" w:space="0" w:color="auto"/>
            <w:bottom w:val="none" w:sz="0" w:space="0" w:color="auto"/>
            <w:right w:val="none" w:sz="0" w:space="0" w:color="auto"/>
          </w:divBdr>
        </w:div>
        <w:div w:id="1311327261">
          <w:marLeft w:val="0"/>
          <w:marRight w:val="0"/>
          <w:marTop w:val="0"/>
          <w:marBottom w:val="0"/>
          <w:divBdr>
            <w:top w:val="none" w:sz="0" w:space="0" w:color="auto"/>
            <w:left w:val="none" w:sz="0" w:space="0" w:color="auto"/>
            <w:bottom w:val="none" w:sz="0" w:space="0" w:color="auto"/>
            <w:right w:val="none" w:sz="0" w:space="0" w:color="auto"/>
          </w:divBdr>
        </w:div>
        <w:div w:id="849105888">
          <w:marLeft w:val="0"/>
          <w:marRight w:val="0"/>
          <w:marTop w:val="0"/>
          <w:marBottom w:val="0"/>
          <w:divBdr>
            <w:top w:val="none" w:sz="0" w:space="0" w:color="auto"/>
            <w:left w:val="none" w:sz="0" w:space="0" w:color="auto"/>
            <w:bottom w:val="none" w:sz="0" w:space="0" w:color="auto"/>
            <w:right w:val="none" w:sz="0" w:space="0" w:color="auto"/>
          </w:divBdr>
        </w:div>
        <w:div w:id="1739133130">
          <w:marLeft w:val="0"/>
          <w:marRight w:val="0"/>
          <w:marTop w:val="0"/>
          <w:marBottom w:val="0"/>
          <w:divBdr>
            <w:top w:val="none" w:sz="0" w:space="0" w:color="auto"/>
            <w:left w:val="none" w:sz="0" w:space="0" w:color="auto"/>
            <w:bottom w:val="none" w:sz="0" w:space="0" w:color="auto"/>
            <w:right w:val="none" w:sz="0" w:space="0" w:color="auto"/>
          </w:divBdr>
        </w:div>
        <w:div w:id="791439434">
          <w:marLeft w:val="0"/>
          <w:marRight w:val="0"/>
          <w:marTop w:val="0"/>
          <w:marBottom w:val="0"/>
          <w:divBdr>
            <w:top w:val="none" w:sz="0" w:space="0" w:color="auto"/>
            <w:left w:val="none" w:sz="0" w:space="0" w:color="auto"/>
            <w:bottom w:val="none" w:sz="0" w:space="0" w:color="auto"/>
            <w:right w:val="none" w:sz="0" w:space="0" w:color="auto"/>
          </w:divBdr>
        </w:div>
        <w:div w:id="1928689526">
          <w:marLeft w:val="0"/>
          <w:marRight w:val="0"/>
          <w:marTop w:val="0"/>
          <w:marBottom w:val="0"/>
          <w:divBdr>
            <w:top w:val="none" w:sz="0" w:space="0" w:color="auto"/>
            <w:left w:val="none" w:sz="0" w:space="0" w:color="auto"/>
            <w:bottom w:val="none" w:sz="0" w:space="0" w:color="auto"/>
            <w:right w:val="none" w:sz="0" w:space="0" w:color="auto"/>
          </w:divBdr>
        </w:div>
        <w:div w:id="447890960">
          <w:marLeft w:val="0"/>
          <w:marRight w:val="0"/>
          <w:marTop w:val="0"/>
          <w:marBottom w:val="0"/>
          <w:divBdr>
            <w:top w:val="none" w:sz="0" w:space="0" w:color="auto"/>
            <w:left w:val="none" w:sz="0" w:space="0" w:color="auto"/>
            <w:bottom w:val="none" w:sz="0" w:space="0" w:color="auto"/>
            <w:right w:val="none" w:sz="0" w:space="0" w:color="auto"/>
          </w:divBdr>
        </w:div>
        <w:div w:id="1945961965">
          <w:marLeft w:val="0"/>
          <w:marRight w:val="0"/>
          <w:marTop w:val="0"/>
          <w:marBottom w:val="0"/>
          <w:divBdr>
            <w:top w:val="none" w:sz="0" w:space="0" w:color="auto"/>
            <w:left w:val="none" w:sz="0" w:space="0" w:color="auto"/>
            <w:bottom w:val="none" w:sz="0" w:space="0" w:color="auto"/>
            <w:right w:val="none" w:sz="0" w:space="0" w:color="auto"/>
          </w:divBdr>
        </w:div>
        <w:div w:id="1317876255">
          <w:marLeft w:val="0"/>
          <w:marRight w:val="0"/>
          <w:marTop w:val="0"/>
          <w:marBottom w:val="0"/>
          <w:divBdr>
            <w:top w:val="none" w:sz="0" w:space="0" w:color="auto"/>
            <w:left w:val="none" w:sz="0" w:space="0" w:color="auto"/>
            <w:bottom w:val="none" w:sz="0" w:space="0" w:color="auto"/>
            <w:right w:val="none" w:sz="0" w:space="0" w:color="auto"/>
          </w:divBdr>
        </w:div>
        <w:div w:id="1600673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DPH_template">
  <a:themeElements>
    <a:clrScheme name="DPH">
      <a:dk1>
        <a:srgbClr val="054266"/>
      </a:dk1>
      <a:lt1>
        <a:srgbClr val="F2F2F2"/>
      </a:lt1>
      <a:dk2>
        <a:srgbClr val="44546A"/>
      </a:dk2>
      <a:lt2>
        <a:srgbClr val="FFFFFF"/>
      </a:lt2>
      <a:accent1>
        <a:srgbClr val="0771BB"/>
      </a:accent1>
      <a:accent2>
        <a:srgbClr val="3A95D2"/>
      </a:accent2>
      <a:accent3>
        <a:srgbClr val="3A945B"/>
      </a:accent3>
      <a:accent4>
        <a:srgbClr val="EF780E"/>
      </a:accent4>
      <a:accent5>
        <a:srgbClr val="D1424A"/>
      </a:accent5>
      <a:accent6>
        <a:srgbClr val="999999"/>
      </a:accent6>
      <a:hlink>
        <a:srgbClr val="3A95D2"/>
      </a:hlink>
      <a:folHlink>
        <a:srgbClr val="0771BB"/>
      </a:folHlink>
    </a:clrScheme>
    <a:fontScheme name="DPH">
      <a:majorFont>
        <a:latin typeface="D-DIN Condense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PH_template" id="{EF45D40B-8CD1-493B-8671-39F210159BF9}" vid="{F463236A-5AD5-4D8E-A914-6CF421FB7ED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0B35581D803F4689AD55EC87723778" ma:contentTypeVersion="15" ma:contentTypeDescription="Create a new document." ma:contentTypeScope="" ma:versionID="87c07e9f6c9f8e62c610804c7b6fbea0">
  <xsd:schema xmlns:xsd="http://www.w3.org/2001/XMLSchema" xmlns:xs="http://www.w3.org/2001/XMLSchema" xmlns:p="http://schemas.microsoft.com/office/2006/metadata/properties" xmlns:ns2="a037f515-fcab-4f12-abbf-889414d4b76b" xmlns:ns3="82fba431-6624-40e1-863a-c53727c94296" targetNamespace="http://schemas.microsoft.com/office/2006/metadata/properties" ma:root="true" ma:fieldsID="adbb3d504fdfcf5e978d1a0e81437f0a" ns2:_="" ns3:_="">
    <xsd:import namespace="a037f515-fcab-4f12-abbf-889414d4b76b"/>
    <xsd:import namespace="82fba431-6624-40e1-863a-c53727c9429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7f515-fcab-4f12-abbf-889414d4b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9be3ee5-5d72-4a78-bfe6-04ec158992b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fba431-6624-40e1-863a-c53727c942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80c0a67-da94-4d6d-826c-e4b52e2b92ab}" ma:internalName="TaxCatchAll" ma:showField="CatchAllData" ma:web="82fba431-6624-40e1-863a-c53727c9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2fba431-6624-40e1-863a-c53727c94296" xsi:nil="true"/>
    <lcf76f155ced4ddcb4097134ff3c332f xmlns="a037f515-fcab-4f12-abbf-889414d4b7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4FBEC1-E357-4B32-8F37-319F76EF5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7f515-fcab-4f12-abbf-889414d4b76b"/>
    <ds:schemaRef ds:uri="82fba431-6624-40e1-863a-c53727c9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6EA082-049A-4F0C-A30D-FB910673A2E1}">
  <ds:schemaRefs>
    <ds:schemaRef ds:uri="http://schemas.openxmlformats.org/officeDocument/2006/bibliography"/>
  </ds:schemaRefs>
</ds:datastoreItem>
</file>

<file path=customXml/itemProps3.xml><?xml version="1.0" encoding="utf-8"?>
<ds:datastoreItem xmlns:ds="http://schemas.openxmlformats.org/officeDocument/2006/customXml" ds:itemID="{A4EBEF50-F2B4-44AA-92F2-48286ECB1C9B}">
  <ds:schemaRefs>
    <ds:schemaRef ds:uri="http://schemas.microsoft.com/sharepoint/v3/contenttype/forms"/>
  </ds:schemaRefs>
</ds:datastoreItem>
</file>

<file path=customXml/itemProps4.xml><?xml version="1.0" encoding="utf-8"?>
<ds:datastoreItem xmlns:ds="http://schemas.openxmlformats.org/officeDocument/2006/customXml" ds:itemID="{4A49ABE1-C1A7-4C86-BD91-59A6C4F581C7}">
  <ds:schemaRefs>
    <ds:schemaRef ds:uri="http://schemas.microsoft.com/office/2006/metadata/properties"/>
    <ds:schemaRef ds:uri="http://schemas.microsoft.com/office/infopath/2007/PartnerControls"/>
    <ds:schemaRef ds:uri="82fba431-6624-40e1-863a-c53727c94296"/>
    <ds:schemaRef ds:uri="a037f515-fcab-4f12-abbf-889414d4b76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7209</Words>
  <Characters>41094</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Melia</dc:creator>
  <cp:keywords/>
  <dc:description/>
  <cp:lastModifiedBy>Velasquez, Christine</cp:lastModifiedBy>
  <cp:revision>2</cp:revision>
  <cp:lastPrinted>2026-10-02T17:18:00Z</cp:lastPrinted>
  <dcterms:created xsi:type="dcterms:W3CDTF">2026-10-05T13:31:00Z</dcterms:created>
  <dcterms:modified xsi:type="dcterms:W3CDTF">2026-10-05T13:31:00Z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0x0101009D0B35581D803F4689AD55EC87723778</vt:lpwstr>
  </property>
  <property fmtid="{D5CDD505-2E9C-101B-9397-08002B2CF9AE}" pid="3" name="MediaServiceImageTags">
    <vt:lpwstr/>
  </property>
</Properties>
</file>